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15052" w:rsidRDefault="00E15052">
      <w:pPr>
        <w:widowControl/>
        <w:spacing w:line="1200" w:lineRule="exact"/>
        <w:jc w:val="center"/>
        <w:rPr>
          <w:rFonts w:asciiTheme="minorEastAsia" w:eastAsiaTheme="minorEastAsia" w:hAnsi="宋体"/>
          <w:color w:val="000000" w:themeColor="text1"/>
          <w:sz w:val="96"/>
          <w:szCs w:val="96"/>
        </w:rPr>
      </w:pPr>
    </w:p>
    <w:p w:rsidR="00E15052" w:rsidRDefault="00E15052">
      <w:pPr>
        <w:widowControl/>
        <w:spacing w:line="1200" w:lineRule="exact"/>
        <w:jc w:val="center"/>
        <w:rPr>
          <w:rFonts w:asciiTheme="minorEastAsia" w:eastAsiaTheme="minorEastAsia" w:hAnsi="宋体"/>
          <w:color w:val="000000" w:themeColor="text1"/>
          <w:sz w:val="96"/>
          <w:szCs w:val="96"/>
        </w:rPr>
      </w:pPr>
    </w:p>
    <w:p w:rsidR="00E15052" w:rsidRDefault="004E19B6">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rsidR="00E15052" w:rsidRDefault="00E15052">
      <w:pPr>
        <w:widowControl/>
        <w:jc w:val="center"/>
        <w:rPr>
          <w:rFonts w:asciiTheme="minorEastAsia" w:eastAsiaTheme="minorEastAsia" w:hAnsi="宋体"/>
          <w:color w:val="002060"/>
          <w:sz w:val="72"/>
          <w:szCs w:val="72"/>
        </w:rPr>
      </w:pPr>
    </w:p>
    <w:p w:rsidR="00E15052" w:rsidRDefault="00E15052">
      <w:pPr>
        <w:widowControl/>
        <w:jc w:val="center"/>
        <w:rPr>
          <w:rFonts w:asciiTheme="minorEastAsia" w:eastAsiaTheme="minorEastAsia" w:hAnsiTheme="minorEastAsia"/>
          <w:b/>
          <w:sz w:val="72"/>
          <w:szCs w:val="72"/>
        </w:rPr>
      </w:pPr>
    </w:p>
    <w:p w:rsidR="00E15052" w:rsidRDefault="00E15052">
      <w:pPr>
        <w:widowControl/>
        <w:jc w:val="center"/>
        <w:rPr>
          <w:rFonts w:asciiTheme="minorEastAsia" w:eastAsiaTheme="minorEastAsia" w:hAnsiTheme="minorEastAsia"/>
          <w:b/>
          <w:sz w:val="72"/>
          <w:szCs w:val="72"/>
        </w:rPr>
      </w:pPr>
    </w:p>
    <w:p w:rsidR="00E15052" w:rsidRDefault="00E15052">
      <w:pPr>
        <w:widowControl/>
        <w:jc w:val="center"/>
        <w:rPr>
          <w:rFonts w:asciiTheme="minorEastAsia" w:eastAsiaTheme="minorEastAsia" w:hAnsiTheme="minorEastAsia"/>
          <w:b/>
          <w:sz w:val="72"/>
          <w:szCs w:val="72"/>
        </w:rPr>
      </w:pPr>
    </w:p>
    <w:p w:rsidR="00E15052" w:rsidRDefault="00E15052">
      <w:pPr>
        <w:widowControl/>
        <w:rPr>
          <w:rFonts w:asciiTheme="minorEastAsia" w:eastAsiaTheme="minorEastAsia" w:hAnsiTheme="minorEastAsia"/>
          <w:b/>
          <w:sz w:val="72"/>
          <w:szCs w:val="72"/>
        </w:rPr>
      </w:pPr>
    </w:p>
    <w:p w:rsidR="00E15052" w:rsidRDefault="004E19B6">
      <w:pPr>
        <w:widowControl/>
        <w:jc w:val="center"/>
        <w:rPr>
          <w:b/>
          <w:sz w:val="44"/>
          <w:szCs w:val="44"/>
        </w:rPr>
      </w:pPr>
      <w:r>
        <w:rPr>
          <w:rFonts w:hint="eastAsia"/>
          <w:b/>
          <w:sz w:val="44"/>
          <w:szCs w:val="44"/>
        </w:rPr>
        <w:t>中共霸州市委党校</w:t>
      </w:r>
    </w:p>
    <w:p w:rsidR="00E15052" w:rsidRDefault="004E19B6">
      <w:pPr>
        <w:widowControl/>
        <w:ind w:firstLineChars="650" w:firstLine="2871"/>
        <w:rPr>
          <w:rFonts w:ascii="楷体" w:eastAsia="楷体" w:hAnsi="楷体" w:cs="楷体"/>
          <w:b/>
          <w:sz w:val="44"/>
          <w:szCs w:val="44"/>
        </w:rPr>
        <w:sectPr w:rsidR="00E15052">
          <w:pgSz w:w="11906" w:h="16838"/>
          <w:pgMar w:top="2098" w:right="1474" w:bottom="1985" w:left="1588" w:header="851" w:footer="992" w:gutter="0"/>
          <w:cols w:space="425"/>
          <w:docGrid w:type="lines" w:linePitch="312"/>
        </w:sectPr>
      </w:pPr>
      <w:r>
        <w:rPr>
          <w:rFonts w:hint="eastAsia"/>
          <w:b/>
          <w:sz w:val="44"/>
          <w:szCs w:val="44"/>
        </w:rPr>
        <w:t>二〇二〇年九月</w:t>
      </w:r>
    </w:p>
    <w:p w:rsidR="00E15052" w:rsidRDefault="004E19B6" w:rsidP="008D15FD">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E15052" w:rsidRDefault="00E15052">
      <w:pPr>
        <w:widowControl/>
        <w:spacing w:line="580" w:lineRule="exact"/>
        <w:ind w:firstLineChars="200" w:firstLine="640"/>
        <w:rPr>
          <w:rFonts w:eastAsia="黑体"/>
          <w:sz w:val="32"/>
          <w:szCs w:val="32"/>
        </w:rPr>
      </w:pPr>
    </w:p>
    <w:p w:rsidR="00E15052" w:rsidRDefault="004E19B6">
      <w:pPr>
        <w:widowControl/>
        <w:spacing w:line="580" w:lineRule="exact"/>
        <w:ind w:firstLineChars="200" w:firstLine="640"/>
        <w:rPr>
          <w:rFonts w:eastAsia="仿宋_GB2312"/>
          <w:sz w:val="24"/>
          <w:szCs w:val="32"/>
        </w:rPr>
      </w:pPr>
      <w:r>
        <w:rPr>
          <w:rFonts w:eastAsia="黑体"/>
          <w:sz w:val="32"/>
          <w:szCs w:val="32"/>
        </w:rPr>
        <w:t>第一部分部门概况</w:t>
      </w:r>
    </w:p>
    <w:p w:rsidR="00E15052" w:rsidRDefault="004E19B6" w:rsidP="00E15052">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E15052" w:rsidRDefault="004E19B6" w:rsidP="00E15052">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E15052" w:rsidRDefault="004E19B6">
      <w:pPr>
        <w:widowControl/>
        <w:spacing w:line="580" w:lineRule="exact"/>
        <w:ind w:firstLineChars="200" w:firstLine="640"/>
        <w:rPr>
          <w:rFonts w:eastAsia="黑体"/>
          <w:sz w:val="32"/>
          <w:szCs w:val="32"/>
        </w:rPr>
      </w:pPr>
      <w:r>
        <w:rPr>
          <w:rFonts w:eastAsia="黑体"/>
          <w:sz w:val="32"/>
          <w:szCs w:val="32"/>
        </w:rPr>
        <w:t>第二部分</w:t>
      </w:r>
      <w:r>
        <w:rPr>
          <w:rFonts w:eastAsia="黑体"/>
          <w:sz w:val="32"/>
          <w:szCs w:val="32"/>
        </w:rPr>
        <w:t xml:space="preserve">   201</w:t>
      </w:r>
      <w:r>
        <w:rPr>
          <w:rFonts w:eastAsia="黑体" w:hint="eastAsia"/>
          <w:sz w:val="32"/>
          <w:szCs w:val="32"/>
        </w:rPr>
        <w:t>9</w:t>
      </w:r>
      <w:r>
        <w:rPr>
          <w:rFonts w:eastAsia="黑体"/>
          <w:sz w:val="32"/>
          <w:szCs w:val="32"/>
        </w:rPr>
        <w:t>年部门决算</w:t>
      </w:r>
      <w:r>
        <w:rPr>
          <w:rFonts w:eastAsia="黑体" w:hint="eastAsia"/>
          <w:sz w:val="32"/>
          <w:szCs w:val="32"/>
        </w:rPr>
        <w:t>情况说明</w:t>
      </w:r>
    </w:p>
    <w:p w:rsidR="00E15052" w:rsidRDefault="004E19B6">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E15052" w:rsidRDefault="004E19B6">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E15052" w:rsidRDefault="004E19B6">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E15052" w:rsidRDefault="004E19B6">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Pr>
          <w:rFonts w:eastAsia="仿宋_GB2312" w:hint="eastAsia"/>
          <w:sz w:val="32"/>
          <w:szCs w:val="32"/>
        </w:rPr>
        <w:t>总体</w:t>
      </w:r>
      <w:r>
        <w:rPr>
          <w:rFonts w:eastAsia="仿宋_GB2312"/>
          <w:sz w:val="32"/>
          <w:szCs w:val="32"/>
        </w:rPr>
        <w:t>情况说明</w:t>
      </w:r>
    </w:p>
    <w:p w:rsidR="00E15052" w:rsidRDefault="004E19B6">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E15052" w:rsidRDefault="004E19B6">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E15052" w:rsidRDefault="004E19B6">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E15052" w:rsidRDefault="004E19B6">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名词解释</w:t>
      </w:r>
    </w:p>
    <w:p w:rsidR="00E15052" w:rsidRDefault="004E19B6">
      <w:pPr>
        <w:widowControl/>
        <w:spacing w:line="580" w:lineRule="exact"/>
        <w:ind w:firstLineChars="200" w:firstLine="640"/>
        <w:rPr>
          <w:rFonts w:eastAsia="黑体"/>
          <w:sz w:val="32"/>
          <w:szCs w:val="32"/>
        </w:rPr>
      </w:pPr>
      <w:r>
        <w:rPr>
          <w:rFonts w:eastAsia="黑体"/>
          <w:sz w:val="32"/>
          <w:szCs w:val="32"/>
        </w:rPr>
        <w:t>第四部分</w:t>
      </w:r>
      <w:r>
        <w:rPr>
          <w:rFonts w:eastAsia="黑体"/>
          <w:sz w:val="32"/>
          <w:szCs w:val="32"/>
        </w:rPr>
        <w:t>201</w:t>
      </w:r>
      <w:r>
        <w:rPr>
          <w:rFonts w:eastAsia="黑体" w:hint="eastAsia"/>
          <w:sz w:val="32"/>
          <w:szCs w:val="32"/>
        </w:rPr>
        <w:t>9</w:t>
      </w:r>
      <w:r>
        <w:rPr>
          <w:rFonts w:eastAsia="黑体"/>
          <w:sz w:val="32"/>
          <w:szCs w:val="32"/>
        </w:rPr>
        <w:t>年</w:t>
      </w:r>
      <w:r>
        <w:rPr>
          <w:rFonts w:eastAsia="黑体" w:hint="eastAsia"/>
          <w:sz w:val="32"/>
          <w:szCs w:val="32"/>
        </w:rPr>
        <w:t>度</w:t>
      </w:r>
      <w:r>
        <w:rPr>
          <w:rFonts w:eastAsia="黑体"/>
          <w:sz w:val="32"/>
          <w:szCs w:val="32"/>
        </w:rPr>
        <w:t>部门决算</w:t>
      </w:r>
      <w:r>
        <w:rPr>
          <w:rFonts w:eastAsia="黑体" w:hint="eastAsia"/>
          <w:sz w:val="32"/>
          <w:szCs w:val="32"/>
        </w:rPr>
        <w:t>报表</w:t>
      </w:r>
    </w:p>
    <w:p w:rsidR="00E15052" w:rsidRDefault="004E19B6">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E15052" w:rsidRDefault="004E19B6">
      <w:pPr>
        <w:widowControl/>
        <w:spacing w:line="580" w:lineRule="exact"/>
        <w:ind w:left="640" w:firstLineChars="200" w:firstLine="640"/>
        <w:rPr>
          <w:rFonts w:eastAsia="仿宋_GB2312"/>
          <w:sz w:val="32"/>
          <w:szCs w:val="32"/>
        </w:rPr>
      </w:pPr>
      <w:r>
        <w:rPr>
          <w:rFonts w:eastAsia="仿宋_GB2312"/>
          <w:sz w:val="32"/>
          <w:szCs w:val="32"/>
        </w:rPr>
        <w:lastRenderedPageBreak/>
        <w:t>二、收入决算表</w:t>
      </w:r>
    </w:p>
    <w:p w:rsidR="00E15052" w:rsidRDefault="004E19B6">
      <w:pPr>
        <w:widowControl/>
        <w:spacing w:line="580" w:lineRule="exact"/>
        <w:ind w:left="640" w:firstLineChars="200" w:firstLine="640"/>
        <w:rPr>
          <w:rFonts w:eastAsia="仿宋_GB2312"/>
          <w:sz w:val="32"/>
          <w:szCs w:val="32"/>
        </w:rPr>
      </w:pPr>
      <w:r>
        <w:rPr>
          <w:rFonts w:eastAsia="仿宋_GB2312"/>
          <w:sz w:val="32"/>
          <w:szCs w:val="32"/>
        </w:rPr>
        <w:t>三、支出决算表</w:t>
      </w:r>
    </w:p>
    <w:p w:rsidR="00E15052" w:rsidRDefault="004E19B6">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E15052" w:rsidRDefault="004E19B6">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E15052" w:rsidRDefault="004E19B6">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E15052" w:rsidRDefault="004E19B6">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E15052" w:rsidRDefault="004E19B6">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E15052" w:rsidRDefault="004E19B6">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E15052" w:rsidRDefault="00E15052"/>
    <w:p w:rsidR="00E15052" w:rsidRDefault="00E15052"/>
    <w:p w:rsidR="00E15052" w:rsidRDefault="00E15052"/>
    <w:p w:rsidR="00E15052" w:rsidRDefault="00E15052"/>
    <w:p w:rsidR="00E15052" w:rsidRDefault="00E15052"/>
    <w:p w:rsidR="00E15052" w:rsidRDefault="00E15052"/>
    <w:p w:rsidR="00E15052" w:rsidRDefault="00E15052"/>
    <w:p w:rsidR="00E15052" w:rsidRDefault="00E15052"/>
    <w:p w:rsidR="00E15052" w:rsidRDefault="00E15052"/>
    <w:p w:rsidR="00E15052" w:rsidRDefault="00E15052">
      <w:pPr>
        <w:widowControl/>
        <w:jc w:val="center"/>
        <w:rPr>
          <w:rFonts w:asciiTheme="minorEastAsia" w:eastAsiaTheme="minorEastAsia" w:hAnsi="宋体"/>
          <w:color w:val="000000" w:themeColor="text1"/>
          <w:sz w:val="96"/>
          <w:szCs w:val="96"/>
        </w:rPr>
      </w:pPr>
    </w:p>
    <w:p w:rsidR="00E15052" w:rsidRDefault="00E15052">
      <w:pPr>
        <w:widowControl/>
        <w:jc w:val="center"/>
        <w:rPr>
          <w:rFonts w:asciiTheme="minorEastAsia" w:eastAsiaTheme="minorEastAsia" w:hAnsi="宋体"/>
          <w:color w:val="000000" w:themeColor="text1"/>
          <w:sz w:val="96"/>
          <w:szCs w:val="96"/>
        </w:rPr>
      </w:pPr>
    </w:p>
    <w:p w:rsidR="00E15052" w:rsidRDefault="00E15052">
      <w:pPr>
        <w:widowControl/>
        <w:jc w:val="center"/>
        <w:rPr>
          <w:rFonts w:asciiTheme="minorEastAsia" w:eastAsiaTheme="minorEastAsia" w:hAnsi="宋体"/>
          <w:color w:val="000000" w:themeColor="text1"/>
          <w:sz w:val="96"/>
          <w:szCs w:val="96"/>
        </w:rPr>
      </w:pPr>
    </w:p>
    <w:p w:rsidR="00E15052" w:rsidRDefault="00E15052">
      <w:pPr>
        <w:widowControl/>
        <w:jc w:val="center"/>
        <w:rPr>
          <w:rFonts w:asciiTheme="minorEastAsia" w:eastAsiaTheme="minorEastAsia" w:hAnsi="宋体"/>
          <w:color w:val="000000" w:themeColor="text1"/>
          <w:sz w:val="96"/>
          <w:szCs w:val="96"/>
        </w:rPr>
      </w:pPr>
    </w:p>
    <w:p w:rsidR="00E15052" w:rsidRDefault="004E19B6">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E15052" w:rsidRDefault="00E15052">
      <w:pPr>
        <w:widowControl/>
        <w:jc w:val="center"/>
        <w:rPr>
          <w:color w:val="000000" w:themeColor="text1"/>
          <w:sz w:val="96"/>
          <w:szCs w:val="96"/>
        </w:rPr>
      </w:pPr>
    </w:p>
    <w:p w:rsidR="00E15052" w:rsidRDefault="00E15052">
      <w:pPr>
        <w:widowControl/>
        <w:jc w:val="center"/>
        <w:rPr>
          <w:color w:val="000000" w:themeColor="text1"/>
          <w:sz w:val="96"/>
          <w:szCs w:val="96"/>
        </w:rPr>
      </w:pPr>
    </w:p>
    <w:p w:rsidR="00E15052" w:rsidRDefault="00E15052">
      <w:pPr>
        <w:widowControl/>
        <w:jc w:val="center"/>
        <w:rPr>
          <w:color w:val="000000" w:themeColor="text1"/>
          <w:sz w:val="96"/>
          <w:szCs w:val="96"/>
        </w:rPr>
      </w:pPr>
    </w:p>
    <w:p w:rsidR="00E15052" w:rsidRDefault="00E15052">
      <w:pPr>
        <w:widowControl/>
        <w:jc w:val="center"/>
        <w:rPr>
          <w:color w:val="000000" w:themeColor="text1"/>
          <w:sz w:val="96"/>
          <w:szCs w:val="96"/>
        </w:rPr>
      </w:pPr>
    </w:p>
    <w:p w:rsidR="00E15052" w:rsidRDefault="004E19B6">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E15052" w:rsidRDefault="004E19B6">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1、培训轮训各级党员领导干部及后备干部，培养理论干部；</w:t>
      </w:r>
    </w:p>
    <w:p w:rsidR="00E15052" w:rsidRDefault="004E19B6">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2、承办市委、市政府举办的专题研讨班；</w:t>
      </w:r>
    </w:p>
    <w:p w:rsidR="00E15052" w:rsidRDefault="004E19B6">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3、围绕新情况新问题开展科学研究，承担市委、市政府下达的调研任务，推进理论创新；</w:t>
      </w:r>
    </w:p>
    <w:p w:rsidR="00E15052" w:rsidRDefault="004E19B6">
      <w:pPr>
        <w:spacing w:after="0" w:line="560" w:lineRule="exact"/>
        <w:ind w:firstLineChars="200" w:firstLine="640"/>
        <w:rPr>
          <w:rFonts w:ascii="仿宋_GB2312" w:eastAsia="仿宋_GB2312" w:hAnsiTheme="minorHAnsi" w:cs="ArialUnicodeMS"/>
          <w:kern w:val="0"/>
          <w:sz w:val="32"/>
          <w:szCs w:val="32"/>
        </w:rPr>
      </w:pPr>
      <w:r>
        <w:rPr>
          <w:rFonts w:ascii="仿宋" w:eastAsia="仿宋" w:hAnsi="仿宋" w:cs="仿宋" w:hint="eastAsia"/>
          <w:sz w:val="32"/>
          <w:szCs w:val="32"/>
        </w:rPr>
        <w:t>4</w:t>
      </w:r>
      <w:r>
        <w:rPr>
          <w:rFonts w:ascii="仿宋_GB2312" w:eastAsia="仿宋_GB2312" w:hAnsiTheme="minorHAnsi" w:cs="ArialUnicodeMS" w:hint="eastAsia"/>
          <w:kern w:val="0"/>
          <w:sz w:val="32"/>
          <w:szCs w:val="32"/>
        </w:rPr>
        <w:t>、针对改革开放和社会主义现代化进程中的重大理论和现实问题，开展马克思主义中国化最新成果的理论宣传，开展党的路线、方针、政策的宣传；</w:t>
      </w:r>
    </w:p>
    <w:p w:rsidR="00E15052" w:rsidRDefault="004E19B6">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5、按照市委党校统一部署，做好教学、调查研究工作；</w:t>
      </w:r>
    </w:p>
    <w:p w:rsidR="00E15052" w:rsidRDefault="004E19B6">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6、按照国家有关法律法规和政策规定，开展多种形式的干部继续教育和培训。</w:t>
      </w:r>
    </w:p>
    <w:p w:rsidR="00E15052" w:rsidRDefault="004E19B6">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E15052" w:rsidRDefault="004E19B6">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从决算编报单位构成看，纳入2019年度本部门决算汇编范围的独立核算单位（以下简称“单位”）共1个，具体情况如下：</w:t>
      </w:r>
    </w:p>
    <w:tbl>
      <w:tblPr>
        <w:tblStyle w:val="aa"/>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E15052">
        <w:trPr>
          <w:trHeight w:val="811"/>
          <w:jc w:val="center"/>
        </w:trPr>
        <w:tc>
          <w:tcPr>
            <w:tcW w:w="985" w:type="dxa"/>
            <w:vAlign w:val="center"/>
          </w:tcPr>
          <w:p w:rsidR="00E15052" w:rsidRDefault="004E19B6">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E15052" w:rsidRDefault="004E19B6">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E15052" w:rsidRDefault="004E19B6">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E15052" w:rsidRDefault="004E19B6">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E15052">
        <w:trPr>
          <w:trHeight w:val="596"/>
          <w:jc w:val="center"/>
        </w:trPr>
        <w:tc>
          <w:tcPr>
            <w:tcW w:w="985" w:type="dxa"/>
          </w:tcPr>
          <w:p w:rsidR="00E15052" w:rsidRDefault="004E19B6">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E15052" w:rsidRDefault="004E19B6">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中共霸州市委党校(本级)</w:t>
            </w:r>
          </w:p>
        </w:tc>
        <w:tc>
          <w:tcPr>
            <w:tcW w:w="2445" w:type="dxa"/>
          </w:tcPr>
          <w:p w:rsidR="00E15052" w:rsidRDefault="004E19B6">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参公事业单位</w:t>
            </w:r>
          </w:p>
        </w:tc>
        <w:tc>
          <w:tcPr>
            <w:tcW w:w="2665" w:type="dxa"/>
          </w:tcPr>
          <w:p w:rsidR="00E15052" w:rsidRDefault="004E19B6">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r w:rsidR="00E15052">
        <w:trPr>
          <w:trHeight w:val="596"/>
          <w:jc w:val="center"/>
        </w:trPr>
        <w:tc>
          <w:tcPr>
            <w:tcW w:w="985" w:type="dxa"/>
          </w:tcPr>
          <w:p w:rsidR="00E15052" w:rsidRDefault="004E19B6">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2</w:t>
            </w:r>
          </w:p>
        </w:tc>
        <w:tc>
          <w:tcPr>
            <w:tcW w:w="3485" w:type="dxa"/>
          </w:tcPr>
          <w:p w:rsidR="00E15052" w:rsidRDefault="00E15052">
            <w:pPr>
              <w:spacing w:after="0" w:line="560" w:lineRule="exact"/>
              <w:rPr>
                <w:rFonts w:ascii="仿宋_GB2312" w:eastAsia="仿宋_GB2312" w:hAnsiTheme="minorHAnsi" w:cs="ArialUnicodeMS"/>
                <w:kern w:val="0"/>
                <w:sz w:val="28"/>
                <w:szCs w:val="28"/>
              </w:rPr>
            </w:pPr>
          </w:p>
        </w:tc>
        <w:tc>
          <w:tcPr>
            <w:tcW w:w="2445" w:type="dxa"/>
          </w:tcPr>
          <w:p w:rsidR="00E15052" w:rsidRDefault="00E15052">
            <w:pPr>
              <w:spacing w:after="0" w:line="560" w:lineRule="exact"/>
              <w:jc w:val="center"/>
              <w:rPr>
                <w:rFonts w:ascii="仿宋_GB2312" w:eastAsia="仿宋_GB2312" w:hAnsiTheme="minorHAnsi" w:cs="ArialUnicodeMS"/>
                <w:kern w:val="0"/>
                <w:sz w:val="28"/>
                <w:szCs w:val="28"/>
              </w:rPr>
            </w:pPr>
          </w:p>
        </w:tc>
        <w:tc>
          <w:tcPr>
            <w:tcW w:w="2665" w:type="dxa"/>
          </w:tcPr>
          <w:p w:rsidR="00E15052" w:rsidRDefault="00E15052">
            <w:pPr>
              <w:spacing w:after="0" w:line="560" w:lineRule="exact"/>
              <w:jc w:val="center"/>
              <w:rPr>
                <w:rFonts w:ascii="仿宋_GB2312" w:eastAsia="仿宋_GB2312" w:hAnsiTheme="minorHAnsi" w:cs="ArialUnicodeMS"/>
                <w:kern w:val="0"/>
                <w:sz w:val="28"/>
                <w:szCs w:val="28"/>
              </w:rPr>
            </w:pPr>
          </w:p>
        </w:tc>
      </w:tr>
      <w:tr w:rsidR="00E15052">
        <w:trPr>
          <w:trHeight w:val="596"/>
          <w:jc w:val="center"/>
        </w:trPr>
        <w:tc>
          <w:tcPr>
            <w:tcW w:w="985" w:type="dxa"/>
          </w:tcPr>
          <w:p w:rsidR="00E15052" w:rsidRDefault="004E19B6">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3</w:t>
            </w:r>
          </w:p>
        </w:tc>
        <w:tc>
          <w:tcPr>
            <w:tcW w:w="3485" w:type="dxa"/>
          </w:tcPr>
          <w:p w:rsidR="00E15052" w:rsidRDefault="00E15052">
            <w:pPr>
              <w:spacing w:after="0" w:line="560" w:lineRule="exact"/>
              <w:rPr>
                <w:rFonts w:ascii="仿宋_GB2312" w:eastAsia="仿宋_GB2312" w:hAnsiTheme="minorHAnsi" w:cs="ArialUnicodeMS"/>
                <w:kern w:val="0"/>
                <w:sz w:val="28"/>
                <w:szCs w:val="28"/>
              </w:rPr>
            </w:pPr>
          </w:p>
        </w:tc>
        <w:tc>
          <w:tcPr>
            <w:tcW w:w="2445" w:type="dxa"/>
          </w:tcPr>
          <w:p w:rsidR="00E15052" w:rsidRDefault="00E15052">
            <w:pPr>
              <w:spacing w:after="0" w:line="560" w:lineRule="exact"/>
              <w:jc w:val="center"/>
              <w:rPr>
                <w:rFonts w:ascii="仿宋_GB2312" w:eastAsia="仿宋_GB2312" w:hAnsiTheme="minorHAnsi" w:cs="ArialUnicodeMS"/>
                <w:kern w:val="0"/>
                <w:sz w:val="28"/>
                <w:szCs w:val="28"/>
              </w:rPr>
            </w:pPr>
          </w:p>
        </w:tc>
        <w:tc>
          <w:tcPr>
            <w:tcW w:w="2665" w:type="dxa"/>
          </w:tcPr>
          <w:p w:rsidR="00E15052" w:rsidRDefault="00E15052">
            <w:pPr>
              <w:spacing w:after="0" w:line="560" w:lineRule="exact"/>
              <w:jc w:val="center"/>
              <w:rPr>
                <w:rFonts w:ascii="仿宋_GB2312" w:eastAsia="仿宋_GB2312" w:hAnsiTheme="minorHAnsi" w:cs="ArialUnicodeMS"/>
                <w:kern w:val="0"/>
                <w:sz w:val="28"/>
                <w:szCs w:val="28"/>
              </w:rPr>
            </w:pPr>
          </w:p>
        </w:tc>
      </w:tr>
      <w:tr w:rsidR="00E15052">
        <w:trPr>
          <w:trHeight w:val="606"/>
          <w:jc w:val="center"/>
        </w:trPr>
        <w:tc>
          <w:tcPr>
            <w:tcW w:w="985" w:type="dxa"/>
            <w:tcBorders>
              <w:bottom w:val="single" w:sz="4" w:space="0" w:color="auto"/>
            </w:tcBorders>
          </w:tcPr>
          <w:p w:rsidR="00E15052" w:rsidRDefault="004E19B6">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
        </w:tc>
        <w:tc>
          <w:tcPr>
            <w:tcW w:w="3485" w:type="dxa"/>
            <w:tcBorders>
              <w:bottom w:val="single" w:sz="4" w:space="0" w:color="auto"/>
            </w:tcBorders>
          </w:tcPr>
          <w:p w:rsidR="00E15052" w:rsidRDefault="004E19B6">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
        </w:tc>
        <w:tc>
          <w:tcPr>
            <w:tcW w:w="2445" w:type="dxa"/>
            <w:tcBorders>
              <w:bottom w:val="single" w:sz="4" w:space="0" w:color="auto"/>
            </w:tcBorders>
          </w:tcPr>
          <w:p w:rsidR="00E15052" w:rsidRDefault="00E15052">
            <w:pPr>
              <w:spacing w:after="0" w:line="560" w:lineRule="exact"/>
              <w:jc w:val="center"/>
              <w:rPr>
                <w:rFonts w:ascii="仿宋_GB2312" w:eastAsia="仿宋_GB2312" w:hAnsiTheme="minorHAnsi" w:cs="ArialUnicodeMS"/>
                <w:kern w:val="0"/>
                <w:sz w:val="28"/>
                <w:szCs w:val="28"/>
              </w:rPr>
            </w:pPr>
          </w:p>
        </w:tc>
        <w:tc>
          <w:tcPr>
            <w:tcW w:w="2665" w:type="dxa"/>
            <w:tcBorders>
              <w:bottom w:val="single" w:sz="4" w:space="0" w:color="auto"/>
            </w:tcBorders>
          </w:tcPr>
          <w:p w:rsidR="00E15052" w:rsidRDefault="00E15052">
            <w:pPr>
              <w:spacing w:after="0" w:line="560" w:lineRule="exact"/>
              <w:jc w:val="center"/>
              <w:rPr>
                <w:rFonts w:ascii="仿宋_GB2312" w:eastAsia="仿宋_GB2312" w:hAnsiTheme="minorHAnsi" w:cs="ArialUnicodeMS"/>
                <w:kern w:val="0"/>
                <w:sz w:val="28"/>
                <w:szCs w:val="28"/>
              </w:rPr>
            </w:pPr>
          </w:p>
        </w:tc>
      </w:tr>
      <w:tr w:rsidR="00E15052">
        <w:trPr>
          <w:trHeight w:val="606"/>
          <w:jc w:val="center"/>
        </w:trPr>
        <w:tc>
          <w:tcPr>
            <w:tcW w:w="9580" w:type="dxa"/>
            <w:gridSpan w:val="4"/>
            <w:tcBorders>
              <w:top w:val="single" w:sz="4" w:space="0" w:color="auto"/>
              <w:left w:val="nil"/>
              <w:bottom w:val="nil"/>
              <w:right w:val="nil"/>
            </w:tcBorders>
          </w:tcPr>
          <w:p w:rsidR="00E15052" w:rsidRDefault="00E15052">
            <w:pPr>
              <w:spacing w:after="0" w:line="560" w:lineRule="exact"/>
              <w:jc w:val="left"/>
              <w:rPr>
                <w:rFonts w:ascii="仿宋_GB2312" w:eastAsia="仿宋_GB2312" w:hAnsiTheme="minorHAnsi" w:cs="ArialUnicodeMS"/>
                <w:kern w:val="0"/>
                <w:sz w:val="28"/>
                <w:szCs w:val="28"/>
              </w:rPr>
            </w:pPr>
          </w:p>
        </w:tc>
      </w:tr>
    </w:tbl>
    <w:p w:rsidR="00E15052" w:rsidRDefault="00E15052">
      <w:pPr>
        <w:widowControl/>
        <w:spacing w:line="560" w:lineRule="exact"/>
        <w:rPr>
          <w:rFonts w:ascii="黑体" w:eastAsia="黑体" w:hAnsiTheme="minorHAnsi" w:cs="MS-UIGothic,Bold"/>
          <w:bCs/>
          <w:kern w:val="0"/>
          <w:sz w:val="52"/>
          <w:szCs w:val="52"/>
        </w:rPr>
      </w:pPr>
    </w:p>
    <w:p w:rsidR="00E15052" w:rsidRDefault="00E15052">
      <w:pPr>
        <w:widowControl/>
        <w:spacing w:line="560" w:lineRule="exact"/>
        <w:jc w:val="center"/>
        <w:rPr>
          <w:rFonts w:ascii="黑体" w:eastAsia="黑体" w:hAnsiTheme="minorHAnsi" w:cs="MS-UIGothic,Bold"/>
          <w:bCs/>
          <w:kern w:val="0"/>
          <w:sz w:val="52"/>
          <w:szCs w:val="52"/>
        </w:rPr>
        <w:sectPr w:rsidR="00E15052">
          <w:pgSz w:w="11906" w:h="16838"/>
          <w:pgMar w:top="2098" w:right="1474" w:bottom="1984" w:left="1588" w:header="851" w:footer="992" w:gutter="0"/>
          <w:cols w:space="0"/>
          <w:docGrid w:type="lines" w:linePitch="312"/>
        </w:sectPr>
      </w:pPr>
    </w:p>
    <w:p w:rsidR="00E15052" w:rsidRDefault="00E15052">
      <w:pPr>
        <w:widowControl/>
        <w:spacing w:line="1200" w:lineRule="exact"/>
        <w:jc w:val="center"/>
        <w:rPr>
          <w:rFonts w:asciiTheme="minorEastAsia" w:eastAsiaTheme="minorEastAsia" w:hAnsi="宋体"/>
          <w:color w:val="000000" w:themeColor="text1"/>
          <w:sz w:val="96"/>
          <w:szCs w:val="96"/>
        </w:rPr>
      </w:pPr>
    </w:p>
    <w:p w:rsidR="00E15052" w:rsidRDefault="00E15052">
      <w:pPr>
        <w:widowControl/>
        <w:spacing w:line="1200" w:lineRule="exact"/>
        <w:jc w:val="center"/>
        <w:rPr>
          <w:rFonts w:asciiTheme="minorEastAsia" w:eastAsiaTheme="minorEastAsia" w:hAnsi="宋体"/>
          <w:color w:val="000000" w:themeColor="text1"/>
          <w:sz w:val="96"/>
          <w:szCs w:val="96"/>
        </w:rPr>
      </w:pPr>
    </w:p>
    <w:p w:rsidR="00E15052" w:rsidRDefault="00E15052">
      <w:pPr>
        <w:widowControl/>
        <w:spacing w:line="1200" w:lineRule="exact"/>
        <w:jc w:val="center"/>
        <w:rPr>
          <w:rFonts w:asciiTheme="minorEastAsia" w:eastAsiaTheme="minorEastAsia" w:hAnsi="宋体"/>
          <w:color w:val="000000" w:themeColor="text1"/>
          <w:sz w:val="96"/>
          <w:szCs w:val="96"/>
        </w:rPr>
      </w:pPr>
    </w:p>
    <w:p w:rsidR="00E15052" w:rsidRDefault="004E19B6">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第二部分</w:t>
      </w:r>
    </w:p>
    <w:p w:rsidR="00E15052" w:rsidRDefault="004E19B6">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2019年部门决算</w:t>
      </w:r>
    </w:p>
    <w:p w:rsidR="00E15052" w:rsidRDefault="004E19B6">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情况说明</w:t>
      </w:r>
    </w:p>
    <w:p w:rsidR="00E15052" w:rsidRDefault="00E15052">
      <w:pPr>
        <w:rPr>
          <w:rFonts w:ascii="宋体" w:hAnsi="宋体" w:cs="ArialUnicodeMS"/>
          <w:color w:val="000000"/>
          <w:kern w:val="0"/>
        </w:rPr>
        <w:sectPr w:rsidR="00E15052">
          <w:pgSz w:w="11906" w:h="16838"/>
          <w:pgMar w:top="2098" w:right="1474" w:bottom="1984" w:left="1588" w:header="851" w:footer="992" w:gutter="0"/>
          <w:cols w:space="0"/>
          <w:docGrid w:type="lines" w:linePitch="312"/>
        </w:sectPr>
      </w:pPr>
    </w:p>
    <w:p w:rsidR="00E15052" w:rsidRDefault="004E19B6">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E15052" w:rsidRDefault="004E19B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本部门2019年度收支总计（含结转和结余）518.1</w:t>
      </w:r>
      <w:r>
        <w:rPr>
          <w:rFonts w:ascii="仿宋" w:eastAsia="仿宋" w:hAnsi="仿宋" w:cs="仿宋" w:hint="eastAsia"/>
          <w:sz w:val="32"/>
          <w:szCs w:val="32"/>
        </w:rPr>
        <w:t>4</w:t>
      </w:r>
      <w:r>
        <w:rPr>
          <w:rFonts w:ascii="仿宋_GB2312" w:eastAsia="仿宋_GB2312" w:cs="DengXian-Regular" w:hint="eastAsia"/>
          <w:sz w:val="32"/>
          <w:szCs w:val="32"/>
        </w:rPr>
        <w:t>万元。与2018年度决算相比，收支各增加26.</w:t>
      </w:r>
      <w:r>
        <w:rPr>
          <w:rFonts w:ascii="仿宋" w:eastAsia="仿宋" w:hAnsi="仿宋" w:cs="仿宋" w:hint="eastAsia"/>
          <w:sz w:val="32"/>
          <w:szCs w:val="32"/>
        </w:rPr>
        <w:t>9</w:t>
      </w:r>
      <w:r>
        <w:rPr>
          <w:rFonts w:ascii="仿宋_GB2312" w:eastAsia="仿宋_GB2312" w:cs="DengXian-Regular" w:hint="eastAsia"/>
          <w:sz w:val="32"/>
          <w:szCs w:val="32"/>
        </w:rPr>
        <w:t>3万元、35.33万元，增长5.</w:t>
      </w:r>
      <w:r>
        <w:rPr>
          <w:rFonts w:ascii="仿宋" w:eastAsia="仿宋" w:hAnsi="仿宋" w:cs="仿宋" w:hint="eastAsia"/>
          <w:sz w:val="32"/>
          <w:szCs w:val="32"/>
        </w:rPr>
        <w:t>4</w:t>
      </w:r>
      <w:r>
        <w:rPr>
          <w:rFonts w:ascii="仿宋_GB2312" w:eastAsia="仿宋_GB2312" w:cs="DengXian-Regular" w:hint="eastAsia"/>
          <w:sz w:val="32"/>
          <w:szCs w:val="32"/>
        </w:rPr>
        <w:t>8%、7.32%，主要是人员工资增加。</w:t>
      </w:r>
    </w:p>
    <w:p w:rsidR="00E15052" w:rsidRDefault="004E19B6">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E15052" w:rsidRDefault="004E19B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本部门2019年度本年收入合计512.56万元，其中：财政拨款收入512.56万元，占</w:t>
      </w:r>
      <w:r>
        <w:rPr>
          <w:rFonts w:ascii="仿宋" w:eastAsia="仿宋" w:hAnsi="仿宋" w:cs="仿宋" w:hint="eastAsia"/>
          <w:sz w:val="32"/>
          <w:szCs w:val="32"/>
        </w:rPr>
        <w:t>99.99</w:t>
      </w:r>
      <w:r>
        <w:rPr>
          <w:rFonts w:ascii="仿宋_GB2312" w:eastAsia="仿宋_GB2312" w:cs="DengXian-Regular" w:hint="eastAsia"/>
          <w:sz w:val="32"/>
          <w:szCs w:val="32"/>
        </w:rPr>
        <w:t>%；事业收入0万元，占0%；经营收入0万元，占0%；其他收入0.005万元，占0.001%。如表所示：</w:t>
      </w:r>
    </w:p>
    <w:tbl>
      <w:tblPr>
        <w:tblW w:w="8874" w:type="dxa"/>
        <w:tblLayout w:type="fixed"/>
        <w:tblCellMar>
          <w:top w:w="15" w:type="dxa"/>
          <w:left w:w="15" w:type="dxa"/>
          <w:bottom w:w="15" w:type="dxa"/>
          <w:right w:w="15" w:type="dxa"/>
        </w:tblCellMar>
        <w:tblLook w:val="04A0"/>
      </w:tblPr>
      <w:tblGrid>
        <w:gridCol w:w="2267"/>
        <w:gridCol w:w="1731"/>
        <w:gridCol w:w="1560"/>
        <w:gridCol w:w="1560"/>
        <w:gridCol w:w="1756"/>
      </w:tblGrid>
      <w:tr w:rsidR="00E15052">
        <w:trPr>
          <w:trHeight w:val="286"/>
        </w:trPr>
        <w:tc>
          <w:tcPr>
            <w:tcW w:w="8874" w:type="dxa"/>
            <w:gridSpan w:val="5"/>
            <w:shd w:val="clear" w:color="auto" w:fill="auto"/>
            <w:vAlign w:val="center"/>
          </w:tcPr>
          <w:p w:rsidR="00E15052" w:rsidRDefault="004E19B6">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E15052">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E15052">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512.56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0.005</w:t>
            </w:r>
          </w:p>
        </w:tc>
      </w:tr>
      <w:tr w:rsidR="00E15052">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99.99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0.001</w:t>
            </w:r>
          </w:p>
        </w:tc>
      </w:tr>
    </w:tbl>
    <w:p w:rsidR="00E15052" w:rsidRDefault="00E15052"/>
    <w:p w:rsidR="00E15052" w:rsidRDefault="004E19B6">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E15052" w:rsidRDefault="004E19B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本部门2019年度本年支出合计518.1</w:t>
      </w:r>
      <w:r>
        <w:rPr>
          <w:rFonts w:ascii="仿宋" w:eastAsia="仿宋" w:hAnsi="仿宋" w:cs="仿宋" w:hint="eastAsia"/>
          <w:sz w:val="32"/>
          <w:szCs w:val="32"/>
        </w:rPr>
        <w:t>4</w:t>
      </w:r>
      <w:r>
        <w:rPr>
          <w:rFonts w:ascii="仿宋_GB2312" w:eastAsia="仿宋_GB2312" w:cs="DengXian-Regular" w:hint="eastAsia"/>
          <w:sz w:val="32"/>
          <w:szCs w:val="32"/>
        </w:rPr>
        <w:t>万元，其中：基本支出</w:t>
      </w:r>
      <w:r>
        <w:rPr>
          <w:rFonts w:ascii="仿宋" w:eastAsia="仿宋" w:hAnsi="仿宋" w:cs="仿宋" w:hint="eastAsia"/>
          <w:sz w:val="32"/>
          <w:szCs w:val="32"/>
        </w:rPr>
        <w:t>450.78</w:t>
      </w:r>
      <w:r>
        <w:rPr>
          <w:rFonts w:ascii="仿宋_GB2312" w:eastAsia="仿宋_GB2312" w:cs="DengXian-Regular" w:hint="eastAsia"/>
          <w:sz w:val="32"/>
          <w:szCs w:val="32"/>
        </w:rPr>
        <w:t>万元，占87%；项目支出67.36万元，占13%；经营支出0万元，占0%。如表所示：</w:t>
      </w:r>
    </w:p>
    <w:p w:rsidR="00E15052" w:rsidRDefault="00E15052">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tblPr>
      <w:tblGrid>
        <w:gridCol w:w="2493"/>
        <w:gridCol w:w="2300"/>
        <w:gridCol w:w="2070"/>
        <w:gridCol w:w="2011"/>
      </w:tblGrid>
      <w:tr w:rsidR="00E15052">
        <w:trPr>
          <w:trHeight w:val="286"/>
        </w:trPr>
        <w:tc>
          <w:tcPr>
            <w:tcW w:w="8874" w:type="dxa"/>
            <w:gridSpan w:val="4"/>
            <w:shd w:val="clear" w:color="auto" w:fill="auto"/>
            <w:vAlign w:val="center"/>
          </w:tcPr>
          <w:p w:rsidR="00E15052" w:rsidRDefault="004E19B6">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表2：支出决算结构</w:t>
            </w:r>
          </w:p>
        </w:tc>
      </w:tr>
      <w:tr w:rsidR="00E15052">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E15052">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450.78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67.36</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r>
      <w:tr w:rsidR="00E15052">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87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13</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r>
    </w:tbl>
    <w:p w:rsidR="00E15052" w:rsidRDefault="00E15052">
      <w:pPr>
        <w:adjustRightInd w:val="0"/>
        <w:snapToGrid w:val="0"/>
        <w:spacing w:after="0" w:line="580" w:lineRule="exact"/>
        <w:ind w:firstLineChars="200" w:firstLine="640"/>
        <w:rPr>
          <w:rFonts w:ascii="仿宋_GB2312" w:eastAsia="仿宋_GB2312" w:cs="DengXian-Regular"/>
          <w:sz w:val="32"/>
          <w:szCs w:val="32"/>
        </w:rPr>
      </w:pPr>
    </w:p>
    <w:p w:rsidR="00E15052" w:rsidRDefault="004E19B6">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拨款收入支出决算总体情况说明</w:t>
      </w:r>
    </w:p>
    <w:p w:rsidR="00E15052" w:rsidRDefault="004E19B6" w:rsidP="00E15052">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w:t>
      </w:r>
      <w:r>
        <w:rPr>
          <w:rFonts w:ascii="楷体" w:eastAsia="楷体" w:hAnsi="楷体" w:cs="楷体" w:hint="eastAsia"/>
          <w:b/>
          <w:bCs/>
          <w:sz w:val="32"/>
          <w:szCs w:val="32"/>
        </w:rPr>
        <w:t>财政拨款收支与2018年度决算对比</w:t>
      </w:r>
      <w:r>
        <w:rPr>
          <w:rFonts w:ascii="楷体_GB2312" w:eastAsia="楷体_GB2312" w:cs="DengXian-Bold" w:hint="eastAsia"/>
          <w:b/>
          <w:bCs/>
          <w:sz w:val="32"/>
          <w:szCs w:val="32"/>
        </w:rPr>
        <w:t>情况</w:t>
      </w:r>
    </w:p>
    <w:p w:rsidR="00E15052" w:rsidRDefault="004E19B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本部门2019年度形成的财政拨款收支均为一般公共预算财政拨款，其中本年收入512.56万元,比2018年度增加22.25万元，增长</w:t>
      </w:r>
      <w:r>
        <w:rPr>
          <w:rFonts w:ascii="仿宋" w:eastAsia="仿宋" w:hAnsi="仿宋" w:cs="仿宋" w:hint="eastAsia"/>
          <w:sz w:val="32"/>
          <w:szCs w:val="32"/>
        </w:rPr>
        <w:t>4.54</w:t>
      </w:r>
      <w:r>
        <w:rPr>
          <w:rFonts w:ascii="仿宋_GB2312" w:eastAsia="仿宋_GB2312" w:cs="DengXian-Regular" w:hint="eastAsia"/>
          <w:sz w:val="32"/>
          <w:szCs w:val="32"/>
        </w:rPr>
        <w:t>%，主要是人员工资增加；本年支出518.13万元，增加35.33万元，增长7.32%，主要是人员工资增加。</w:t>
      </w:r>
    </w:p>
    <w:tbl>
      <w:tblPr>
        <w:tblW w:w="8874" w:type="dxa"/>
        <w:tblLayout w:type="fixed"/>
        <w:tblCellMar>
          <w:top w:w="15" w:type="dxa"/>
          <w:left w:w="15" w:type="dxa"/>
          <w:bottom w:w="15" w:type="dxa"/>
          <w:right w:w="15" w:type="dxa"/>
        </w:tblCellMar>
        <w:tblLook w:val="04A0"/>
      </w:tblPr>
      <w:tblGrid>
        <w:gridCol w:w="1860"/>
        <w:gridCol w:w="1037"/>
        <w:gridCol w:w="1038"/>
        <w:gridCol w:w="1039"/>
        <w:gridCol w:w="1038"/>
        <w:gridCol w:w="1039"/>
        <w:gridCol w:w="1823"/>
      </w:tblGrid>
      <w:tr w:rsidR="00E15052">
        <w:trPr>
          <w:trHeight w:val="375"/>
        </w:trPr>
        <w:tc>
          <w:tcPr>
            <w:tcW w:w="8874" w:type="dxa"/>
            <w:gridSpan w:val="7"/>
            <w:shd w:val="clear" w:color="auto" w:fill="auto"/>
            <w:vAlign w:val="center"/>
          </w:tcPr>
          <w:p w:rsidR="00E15052" w:rsidRDefault="004E19B6">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表3：201</w:t>
            </w:r>
            <w:r>
              <w:rPr>
                <w:rFonts w:ascii="仿宋_GB2312" w:eastAsia="仿宋_GB2312" w:hAnsi="宋体" w:cs="仿宋_GB2312" w:hint="eastAsia"/>
                <w:color w:val="000000"/>
                <w:kern w:val="0"/>
                <w:sz w:val="28"/>
                <w:szCs w:val="28"/>
              </w:rPr>
              <w:t>8</w:t>
            </w:r>
            <w:r>
              <w:rPr>
                <w:rFonts w:ascii="仿宋_GB2312" w:eastAsia="仿宋_GB2312" w:hAnsi="宋体" w:cs="仿宋_GB2312"/>
                <w:color w:val="000000"/>
                <w:kern w:val="0"/>
                <w:sz w:val="28"/>
                <w:szCs w:val="28"/>
              </w:rPr>
              <w:t>-201</w:t>
            </w:r>
            <w:r>
              <w:rPr>
                <w:rFonts w:ascii="仿宋_GB2312" w:eastAsia="仿宋_GB2312" w:hAnsi="宋体" w:cs="仿宋_GB2312" w:hint="eastAsia"/>
                <w:color w:val="000000"/>
                <w:kern w:val="0"/>
                <w:sz w:val="28"/>
                <w:szCs w:val="28"/>
              </w:rPr>
              <w:t>9</w:t>
            </w:r>
            <w:r>
              <w:rPr>
                <w:rFonts w:ascii="仿宋_GB2312" w:eastAsia="仿宋_GB2312" w:hAnsi="宋体" w:cs="仿宋_GB2312"/>
                <w:color w:val="000000"/>
                <w:kern w:val="0"/>
                <w:sz w:val="28"/>
                <w:szCs w:val="28"/>
              </w:rPr>
              <w:t>年财政拨款收支情况</w:t>
            </w:r>
          </w:p>
        </w:tc>
      </w:tr>
      <w:tr w:rsidR="00E15052">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E15052">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E15052">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490.31</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490.31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482.80</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482.80</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r>
      <w:tr w:rsidR="00E15052">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2019年（万元）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512.56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512.56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518.13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518.13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r>
      <w:tr w:rsidR="00E15052">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4.54</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4.54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7.32</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7.32</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r>
    </w:tbl>
    <w:p w:rsidR="00E15052" w:rsidRDefault="00E15052" w:rsidP="00E15052">
      <w:pPr>
        <w:spacing w:after="0" w:line="580" w:lineRule="exact"/>
        <w:ind w:firstLineChars="200" w:firstLine="641"/>
        <w:rPr>
          <w:rFonts w:ascii="楷体_GB2312" w:eastAsia="楷体_GB2312" w:cs="DengXian-Bold"/>
          <w:b/>
          <w:bCs/>
          <w:sz w:val="32"/>
          <w:szCs w:val="32"/>
        </w:rPr>
      </w:pPr>
    </w:p>
    <w:p w:rsidR="00E15052" w:rsidRDefault="004E19B6" w:rsidP="00E15052">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t>（二）</w:t>
      </w:r>
      <w:r>
        <w:rPr>
          <w:rFonts w:ascii="楷体" w:eastAsia="楷体" w:hAnsi="楷体" w:cs="楷体" w:hint="eastAsia"/>
          <w:b/>
          <w:bCs/>
          <w:sz w:val="32"/>
          <w:szCs w:val="32"/>
        </w:rPr>
        <w:t>财政拨款收支与年初预算数对比</w:t>
      </w:r>
      <w:r>
        <w:rPr>
          <w:rFonts w:ascii="楷体_GB2312" w:eastAsia="楷体_GB2312" w:cs="DengXian-Bold" w:hint="eastAsia"/>
          <w:b/>
          <w:bCs/>
          <w:sz w:val="32"/>
          <w:szCs w:val="32"/>
        </w:rPr>
        <w:t>情况</w:t>
      </w:r>
    </w:p>
    <w:p w:rsidR="00E15052" w:rsidRDefault="004E19B6">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2019年度一般公共预算财政拨款收入512.56万元，完成年初预算的99.35%,比年初预算减少3.35万元，决算数小于预算数主要原因是减少了人员经费；本年支出518.13万元，完成年初预算的100.43%,比年初预算增加2.22万元，决算数大于预算数主要原因是增加了去年结转的人员工资。</w:t>
      </w:r>
    </w:p>
    <w:p w:rsidR="00E15052" w:rsidRDefault="00E15052">
      <w:pPr>
        <w:adjustRightInd w:val="0"/>
        <w:snapToGrid w:val="0"/>
        <w:spacing w:after="0" w:line="580" w:lineRule="exact"/>
        <w:ind w:firstLineChars="200" w:firstLine="640"/>
        <w:rPr>
          <w:rFonts w:ascii="仿宋_GB2312" w:eastAsia="仿宋_GB2312" w:cs="DengXian-Regular"/>
          <w:sz w:val="32"/>
          <w:szCs w:val="32"/>
          <w:highlight w:val="yellow"/>
        </w:rPr>
      </w:pPr>
    </w:p>
    <w:tbl>
      <w:tblPr>
        <w:tblW w:w="9045" w:type="dxa"/>
        <w:tblLayout w:type="fixed"/>
        <w:tblCellMar>
          <w:top w:w="15" w:type="dxa"/>
          <w:left w:w="15" w:type="dxa"/>
          <w:bottom w:w="15" w:type="dxa"/>
          <w:right w:w="15" w:type="dxa"/>
        </w:tblCellMar>
        <w:tblLook w:val="04A0"/>
      </w:tblPr>
      <w:tblGrid>
        <w:gridCol w:w="1855"/>
        <w:gridCol w:w="1523"/>
        <w:gridCol w:w="1003"/>
        <w:gridCol w:w="1522"/>
        <w:gridCol w:w="1003"/>
        <w:gridCol w:w="1003"/>
        <w:gridCol w:w="1136"/>
      </w:tblGrid>
      <w:tr w:rsidR="00E15052">
        <w:trPr>
          <w:trHeight w:val="510"/>
        </w:trPr>
        <w:tc>
          <w:tcPr>
            <w:tcW w:w="9045" w:type="dxa"/>
            <w:gridSpan w:val="7"/>
            <w:shd w:val="clear" w:color="auto" w:fill="auto"/>
            <w:vAlign w:val="center"/>
          </w:tcPr>
          <w:p w:rsidR="00E15052" w:rsidRDefault="004E19B6">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E15052">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E15052">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E15052">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515.91</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515.91</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515.91</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515.91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r>
      <w:tr w:rsidR="00E15052">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518.13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518.13</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518.13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518.13</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r>
    </w:tbl>
    <w:p w:rsidR="00E15052" w:rsidRDefault="00E15052">
      <w:pPr>
        <w:adjustRightInd w:val="0"/>
        <w:snapToGrid w:val="0"/>
        <w:spacing w:after="0" w:line="580" w:lineRule="exact"/>
        <w:ind w:firstLineChars="200" w:firstLine="640"/>
        <w:rPr>
          <w:rFonts w:ascii="仿宋_GB2312" w:eastAsia="仿宋_GB2312" w:cs="DengXian-Regular"/>
          <w:sz w:val="32"/>
          <w:szCs w:val="32"/>
          <w:highlight w:val="yellow"/>
        </w:rPr>
      </w:pPr>
    </w:p>
    <w:p w:rsidR="00E15052" w:rsidRDefault="004E19B6">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 w:eastAsia="楷体" w:hAnsi="楷体" w:cs="楷体" w:hint="eastAsia"/>
          <w:b/>
          <w:bCs/>
          <w:sz w:val="32"/>
          <w:szCs w:val="32"/>
        </w:rPr>
        <w:t>财政拨款支出决算结构</w:t>
      </w:r>
      <w:r>
        <w:rPr>
          <w:rFonts w:ascii="楷体_GB2312" w:eastAsia="楷体_GB2312" w:cs="DengXian-Bold" w:hint="eastAsia"/>
          <w:b/>
          <w:bCs/>
          <w:sz w:val="32"/>
          <w:szCs w:val="32"/>
        </w:rPr>
        <w:t>情况。</w:t>
      </w:r>
    </w:p>
    <w:p w:rsidR="00E15052" w:rsidRDefault="004E19B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2019年度财政拨款支出512.56万元，主要用于教育（类）</w:t>
      </w:r>
      <w:r>
        <w:rPr>
          <w:rFonts w:ascii="仿宋_GB2312" w:eastAsia="仿宋_GB2312" w:cs="DengXian-Regular" w:hint="eastAsia"/>
          <w:sz w:val="32"/>
          <w:szCs w:val="32"/>
        </w:rPr>
        <w:lastRenderedPageBreak/>
        <w:t>支出512.56万元，占100%。</w:t>
      </w:r>
    </w:p>
    <w:tbl>
      <w:tblPr>
        <w:tblW w:w="8874" w:type="dxa"/>
        <w:tblLayout w:type="fixed"/>
        <w:tblCellMar>
          <w:top w:w="15" w:type="dxa"/>
          <w:left w:w="15" w:type="dxa"/>
          <w:bottom w:w="15" w:type="dxa"/>
          <w:right w:w="15" w:type="dxa"/>
        </w:tblCellMar>
        <w:tblLook w:val="04A0"/>
      </w:tblPr>
      <w:tblGrid>
        <w:gridCol w:w="2021"/>
        <w:gridCol w:w="1615"/>
        <w:gridCol w:w="1615"/>
        <w:gridCol w:w="1615"/>
        <w:gridCol w:w="2008"/>
      </w:tblGrid>
      <w:tr w:rsidR="00E15052">
        <w:trPr>
          <w:trHeight w:val="286"/>
        </w:trPr>
        <w:tc>
          <w:tcPr>
            <w:tcW w:w="8874" w:type="dxa"/>
            <w:gridSpan w:val="5"/>
            <w:shd w:val="clear" w:color="auto" w:fill="auto"/>
            <w:vAlign w:val="center"/>
          </w:tcPr>
          <w:p w:rsidR="00E15052" w:rsidRDefault="004E19B6">
            <w:pPr>
              <w:widowControl/>
              <w:jc w:val="center"/>
              <w:textAlignment w:val="center"/>
              <w:rPr>
                <w:rFonts w:ascii="宋体" w:hAnsi="宋体" w:cs="宋体"/>
                <w:color w:val="000000"/>
                <w:sz w:val="24"/>
              </w:rPr>
            </w:pPr>
            <w:r>
              <w:rPr>
                <w:rFonts w:ascii="宋体" w:hAnsi="宋体" w:cs="宋体" w:hint="eastAsia"/>
                <w:color w:val="000000"/>
                <w:kern w:val="0"/>
                <w:sz w:val="24"/>
              </w:rPr>
              <w:t>表5：财政拨款支出决算结构（按功能分类）</w:t>
            </w:r>
          </w:p>
        </w:tc>
      </w:tr>
      <w:tr w:rsidR="00E15052">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E15052">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512.56</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r>
      <w:tr w:rsidR="00E15052">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4E19B6">
            <w:pPr>
              <w:rPr>
                <w:rFonts w:ascii="宋体" w:hAnsi="宋体" w:cs="宋体"/>
                <w:color w:val="000000"/>
                <w:sz w:val="24"/>
              </w:rPr>
            </w:pPr>
            <w:r>
              <w:rPr>
                <w:rFonts w:ascii="宋体" w:hAnsi="宋体" w:cs="宋体" w:hint="eastAsia"/>
                <w:color w:val="000000"/>
                <w:sz w:val="24"/>
              </w:rPr>
              <w:t>100</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052" w:rsidRDefault="00E15052">
            <w:pPr>
              <w:rPr>
                <w:rFonts w:ascii="宋体" w:hAnsi="宋体" w:cs="宋体"/>
                <w:color w:val="000000"/>
                <w:sz w:val="24"/>
              </w:rPr>
            </w:pPr>
          </w:p>
        </w:tc>
      </w:tr>
    </w:tbl>
    <w:p w:rsidR="00E15052" w:rsidRDefault="00E15052">
      <w:pPr>
        <w:adjustRightInd w:val="0"/>
        <w:snapToGrid w:val="0"/>
        <w:spacing w:after="0" w:line="580" w:lineRule="exact"/>
        <w:ind w:leftChars="200" w:left="420"/>
        <w:rPr>
          <w:rFonts w:ascii="仿宋_GB2312" w:eastAsia="仿宋_GB2312" w:cs="DengXian-Regular"/>
          <w:sz w:val="32"/>
          <w:szCs w:val="32"/>
          <w:highlight w:val="yellow"/>
        </w:rPr>
      </w:pPr>
    </w:p>
    <w:p w:rsidR="00E15052" w:rsidRDefault="004E19B6">
      <w:pPr>
        <w:adjustRightInd w:val="0"/>
        <w:snapToGrid w:val="0"/>
        <w:spacing w:after="0" w:line="580" w:lineRule="exact"/>
        <w:ind w:leftChars="200" w:left="420"/>
        <w:rPr>
          <w:rFonts w:ascii="楷体_GB2312" w:eastAsia="楷体_GB2312" w:cs="DengXian-Bold"/>
          <w:b/>
          <w:bCs/>
          <w:sz w:val="32"/>
          <w:szCs w:val="32"/>
        </w:rPr>
      </w:pPr>
      <w:r>
        <w:rPr>
          <w:rFonts w:ascii="楷体" w:eastAsia="楷体" w:hAnsi="楷体" w:cs="楷体" w:hint="eastAsia"/>
          <w:b/>
          <w:bCs/>
          <w:sz w:val="32"/>
          <w:szCs w:val="32"/>
        </w:rPr>
        <w:t>（四）一般公共预算基本支出决算</w:t>
      </w:r>
      <w:r>
        <w:rPr>
          <w:rFonts w:ascii="楷体_GB2312" w:eastAsia="楷体_GB2312" w:cs="DengXian-Bold" w:hint="eastAsia"/>
          <w:b/>
          <w:bCs/>
          <w:sz w:val="32"/>
          <w:szCs w:val="32"/>
        </w:rPr>
        <w:t>情况说明</w:t>
      </w:r>
    </w:p>
    <w:p w:rsidR="00E15052" w:rsidRDefault="004E19B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2019年度财政拨款基本支出512.56万元，其中：人员经费</w:t>
      </w:r>
      <w:r>
        <w:rPr>
          <w:rFonts w:ascii="仿宋" w:eastAsia="仿宋" w:hAnsi="仿宋" w:cs="仿宋" w:hint="eastAsia"/>
          <w:sz w:val="32"/>
          <w:szCs w:val="32"/>
        </w:rPr>
        <w:t>404</w:t>
      </w:r>
      <w:r>
        <w:rPr>
          <w:rFonts w:ascii="仿宋_GB2312" w:eastAsia="仿宋_GB2312" w:cs="DengXian-Regular" w:hint="eastAsia"/>
          <w:sz w:val="32"/>
          <w:szCs w:val="32"/>
        </w:rPr>
        <w:t>.78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 w:eastAsia="仿宋" w:hAnsi="仿宋" w:cs="仿宋" w:hint="eastAsia"/>
          <w:sz w:val="32"/>
          <w:szCs w:val="32"/>
        </w:rPr>
        <w:t>45.99</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w:t>
      </w:r>
      <w:r>
        <w:rPr>
          <w:rFonts w:ascii="仿宋_GB2312" w:eastAsia="仿宋_GB2312" w:cs="DengXian-Regular" w:hint="eastAsia"/>
          <w:sz w:val="32"/>
          <w:szCs w:val="32"/>
        </w:rPr>
        <w:lastRenderedPageBreak/>
        <w:t>务用车购置、其他资本性支出。</w:t>
      </w:r>
    </w:p>
    <w:p w:rsidR="00E15052" w:rsidRDefault="004E19B6">
      <w:pPr>
        <w:pStyle w:val="2"/>
        <w:spacing w:before="0" w:after="0" w:line="580" w:lineRule="exact"/>
        <w:ind w:firstLineChars="200" w:firstLine="640"/>
        <w:rPr>
          <w:rFonts w:ascii="黑体" w:eastAsia="黑体"/>
          <w:b w:val="0"/>
          <w:bCs w:val="0"/>
          <w:color w:val="FF0000"/>
        </w:rPr>
      </w:pPr>
      <w:r>
        <w:rPr>
          <w:rFonts w:ascii="黑体" w:eastAsia="黑体" w:hint="eastAsia"/>
          <w:b w:val="0"/>
          <w:bCs w:val="0"/>
        </w:rPr>
        <w:t>五、一般公共预算 “三公” 经费支出决算情况说明</w:t>
      </w:r>
    </w:p>
    <w:p w:rsidR="00E15052" w:rsidRDefault="004E19B6">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2.5</w:t>
      </w:r>
      <w:r>
        <w:rPr>
          <w:rFonts w:eastAsia="仿宋_GB2312"/>
          <w:sz w:val="32"/>
          <w:szCs w:val="32"/>
        </w:rPr>
        <w:t>万元，</w:t>
      </w:r>
      <w:r>
        <w:rPr>
          <w:rFonts w:eastAsia="仿宋_GB2312" w:hint="eastAsia"/>
          <w:sz w:val="32"/>
          <w:szCs w:val="32"/>
        </w:rPr>
        <w:t>完成预算的</w:t>
      </w:r>
      <w:r>
        <w:rPr>
          <w:rFonts w:eastAsia="仿宋_GB2312" w:hint="eastAsia"/>
          <w:sz w:val="32"/>
          <w:szCs w:val="32"/>
        </w:rPr>
        <w:t>87.1</w:t>
      </w:r>
      <w:r>
        <w:rPr>
          <w:rFonts w:eastAsia="仿宋_GB2312"/>
          <w:sz w:val="32"/>
          <w:szCs w:val="32"/>
        </w:rPr>
        <w:t>%</w:t>
      </w:r>
      <w:r>
        <w:rPr>
          <w:rFonts w:eastAsia="仿宋_GB2312" w:hint="eastAsia"/>
          <w:sz w:val="32"/>
          <w:szCs w:val="32"/>
        </w:rPr>
        <w:t>，较</w:t>
      </w:r>
      <w:r>
        <w:rPr>
          <w:rFonts w:eastAsia="仿宋_GB2312"/>
          <w:sz w:val="32"/>
          <w:szCs w:val="32"/>
        </w:rPr>
        <w:t>预算减少</w:t>
      </w:r>
      <w:r>
        <w:rPr>
          <w:rFonts w:eastAsia="仿宋_GB2312" w:hint="eastAsia"/>
          <w:sz w:val="32"/>
          <w:szCs w:val="32"/>
        </w:rPr>
        <w:t>0.37</w:t>
      </w:r>
      <w:r>
        <w:rPr>
          <w:rFonts w:eastAsia="仿宋_GB2312"/>
          <w:sz w:val="32"/>
          <w:szCs w:val="32"/>
        </w:rPr>
        <w:t>万元，降低</w:t>
      </w:r>
      <w:r>
        <w:rPr>
          <w:rFonts w:eastAsia="仿宋_GB2312" w:hint="eastAsia"/>
          <w:sz w:val="32"/>
          <w:szCs w:val="32"/>
        </w:rPr>
        <w:t>12.89</w:t>
      </w:r>
      <w:r>
        <w:rPr>
          <w:rFonts w:ascii="仿宋_GB2312" w:eastAsia="仿宋_GB2312" w:cs="DengXian-Regular" w:hint="eastAsia"/>
          <w:sz w:val="32"/>
          <w:szCs w:val="32"/>
        </w:rPr>
        <w:t>%</w:t>
      </w:r>
      <w:r>
        <w:rPr>
          <w:rFonts w:eastAsia="仿宋_GB2312"/>
          <w:sz w:val="32"/>
          <w:szCs w:val="32"/>
        </w:rPr>
        <w:t>，主要是</w:t>
      </w:r>
      <w:r>
        <w:rPr>
          <w:rFonts w:eastAsia="仿宋_GB2312" w:hint="eastAsia"/>
          <w:sz w:val="32"/>
          <w:szCs w:val="32"/>
        </w:rPr>
        <w:t>本年度没有安排公务接待</w:t>
      </w:r>
      <w:r>
        <w:rPr>
          <w:rFonts w:eastAsia="仿宋_GB2312"/>
          <w:sz w:val="32"/>
          <w:szCs w:val="32"/>
        </w:rPr>
        <w:t>；</w:t>
      </w:r>
      <w:r>
        <w:rPr>
          <w:rFonts w:eastAsia="仿宋_GB2312" w:hint="eastAsia"/>
          <w:sz w:val="32"/>
          <w:szCs w:val="32"/>
        </w:rPr>
        <w:t>与</w:t>
      </w:r>
      <w:r>
        <w:rPr>
          <w:rFonts w:eastAsia="仿宋_GB2312"/>
          <w:sz w:val="32"/>
          <w:szCs w:val="32"/>
        </w:rPr>
        <w:t>201</w:t>
      </w:r>
      <w:r>
        <w:rPr>
          <w:rFonts w:eastAsia="仿宋_GB2312" w:hint="eastAsia"/>
          <w:sz w:val="32"/>
          <w:szCs w:val="32"/>
        </w:rPr>
        <w:t>8</w:t>
      </w:r>
      <w:r>
        <w:rPr>
          <w:rFonts w:eastAsia="仿宋_GB2312"/>
          <w:sz w:val="32"/>
          <w:szCs w:val="32"/>
        </w:rPr>
        <w:t>年度</w:t>
      </w:r>
      <w:r>
        <w:rPr>
          <w:rFonts w:eastAsia="仿宋_GB2312" w:hint="eastAsia"/>
          <w:sz w:val="32"/>
          <w:szCs w:val="32"/>
        </w:rPr>
        <w:t>持平</w:t>
      </w:r>
      <w:r>
        <w:rPr>
          <w:rFonts w:eastAsia="仿宋_GB2312"/>
          <w:sz w:val="32"/>
          <w:szCs w:val="32"/>
        </w:rPr>
        <w:t>。具体情况如下：</w:t>
      </w:r>
    </w:p>
    <w:p w:rsidR="00E15052" w:rsidRDefault="004E19B6" w:rsidP="00E15052">
      <w:pPr>
        <w:adjustRightInd w:val="0"/>
        <w:snapToGrid w:val="0"/>
        <w:spacing w:line="584" w:lineRule="exact"/>
        <w:ind w:firstLineChars="200" w:firstLine="641"/>
        <w:rPr>
          <w:rFonts w:eastAsia="仿宋_GB2312"/>
          <w:sz w:val="32"/>
          <w:szCs w:val="32"/>
          <w:highlight w:val="yellow"/>
        </w:rPr>
      </w:pPr>
      <w:r>
        <w:rPr>
          <w:rFonts w:eastAsia="楷体_GB2312"/>
          <w:b/>
          <w:bCs/>
          <w:sz w:val="32"/>
          <w:szCs w:val="32"/>
        </w:rPr>
        <w:t>（一）</w:t>
      </w:r>
      <w:r>
        <w:rPr>
          <w:rFonts w:ascii="楷体" w:eastAsia="楷体" w:hAnsi="楷体" w:cs="楷体" w:hint="eastAsia"/>
          <w:b/>
          <w:bCs/>
          <w:sz w:val="32"/>
          <w:szCs w:val="32"/>
        </w:rPr>
        <w:t>因公出国（境）费支出0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ascii="仿宋_GB2312" w:eastAsia="仿宋_GB2312" w:cs="DengXian-Regular" w:hint="eastAsia"/>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eastAsia="仿宋_GB2312" w:hint="eastAsia"/>
          <w:sz w:val="32"/>
          <w:szCs w:val="32"/>
        </w:rPr>
        <w:t>较</w:t>
      </w:r>
      <w:r>
        <w:rPr>
          <w:rFonts w:eastAsia="仿宋_GB2312"/>
          <w:sz w:val="32"/>
          <w:szCs w:val="32"/>
        </w:rPr>
        <w:t>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ascii="仿宋_GB2312" w:eastAsia="仿宋_GB2312" w:cs="DengXian-Regular" w:hint="eastAsia"/>
          <w:sz w:val="32"/>
          <w:szCs w:val="32"/>
        </w:rPr>
        <w:t>%，</w:t>
      </w:r>
      <w:r>
        <w:rPr>
          <w:rFonts w:eastAsia="仿宋_GB2312" w:hint="eastAsia"/>
          <w:sz w:val="32"/>
          <w:szCs w:val="32"/>
        </w:rPr>
        <w:t>与</w:t>
      </w:r>
      <w:r>
        <w:rPr>
          <w:rFonts w:eastAsia="仿宋_GB2312"/>
          <w:sz w:val="32"/>
          <w:szCs w:val="32"/>
        </w:rPr>
        <w:t>201</w:t>
      </w:r>
      <w:r>
        <w:rPr>
          <w:rFonts w:eastAsia="仿宋_GB2312" w:hint="eastAsia"/>
          <w:sz w:val="32"/>
          <w:szCs w:val="32"/>
        </w:rPr>
        <w:t>8</w:t>
      </w:r>
      <w:r>
        <w:rPr>
          <w:rFonts w:eastAsia="仿宋_GB2312"/>
          <w:sz w:val="32"/>
          <w:szCs w:val="32"/>
        </w:rPr>
        <w:t>年度决算</w:t>
      </w:r>
      <w:r>
        <w:rPr>
          <w:rFonts w:eastAsia="仿宋_GB2312" w:hint="eastAsia"/>
          <w:sz w:val="32"/>
          <w:szCs w:val="32"/>
        </w:rPr>
        <w:t>持平，未发生因公出国情况</w:t>
      </w:r>
      <w:r>
        <w:rPr>
          <w:rFonts w:eastAsia="仿宋_GB2312"/>
          <w:sz w:val="32"/>
          <w:szCs w:val="32"/>
        </w:rPr>
        <w:t>。</w:t>
      </w:r>
    </w:p>
    <w:p w:rsidR="00E15052" w:rsidRDefault="004E19B6" w:rsidP="00E15052">
      <w:pPr>
        <w:adjustRightInd w:val="0"/>
        <w:snapToGrid w:val="0"/>
        <w:spacing w:line="584" w:lineRule="exact"/>
        <w:ind w:firstLineChars="200" w:firstLine="641"/>
        <w:rPr>
          <w:rFonts w:eastAsia="仿宋_GB2312"/>
          <w:sz w:val="32"/>
          <w:szCs w:val="32"/>
        </w:rPr>
      </w:pPr>
      <w:r>
        <w:rPr>
          <w:rFonts w:eastAsia="仿宋_GB2312"/>
          <w:b/>
          <w:sz w:val="32"/>
          <w:szCs w:val="32"/>
        </w:rPr>
        <w:t>（二）公务用车购置及运行维护费支出</w:t>
      </w:r>
      <w:r>
        <w:rPr>
          <w:rFonts w:eastAsia="仿宋_GB2312" w:hint="eastAsia"/>
          <w:b/>
          <w:sz w:val="32"/>
          <w:szCs w:val="32"/>
        </w:rPr>
        <w:t>2.5</w:t>
      </w:r>
      <w:r>
        <w:rPr>
          <w:rFonts w:eastAsia="仿宋_GB2312"/>
          <w:b/>
          <w:sz w:val="32"/>
          <w:szCs w:val="32"/>
        </w:rPr>
        <w:t>万元。</w:t>
      </w:r>
      <w:r>
        <w:rPr>
          <w:rFonts w:eastAsia="仿宋_GB2312" w:hint="eastAsia"/>
          <w:sz w:val="32"/>
          <w:szCs w:val="32"/>
        </w:rPr>
        <w:t>本部门</w:t>
      </w:r>
      <w:r>
        <w:rPr>
          <w:rFonts w:eastAsia="仿宋_GB2312" w:hint="eastAsia"/>
          <w:sz w:val="32"/>
          <w:szCs w:val="32"/>
        </w:rPr>
        <w:t>2019</w:t>
      </w:r>
      <w:r>
        <w:rPr>
          <w:rFonts w:eastAsia="仿宋_GB2312" w:hint="eastAsia"/>
          <w:sz w:val="32"/>
          <w:szCs w:val="32"/>
        </w:rPr>
        <w:t>年度公务用车购置及运行维护费与预算持平</w:t>
      </w:r>
      <w:r w:rsidR="00331372" w:rsidRPr="003948CC">
        <w:rPr>
          <w:rFonts w:ascii="仿宋_GB2312" w:eastAsia="仿宋_GB2312" w:cs="DengXian-Regular" w:hint="eastAsia"/>
          <w:sz w:val="32"/>
          <w:szCs w:val="32"/>
        </w:rPr>
        <w:t>；</w:t>
      </w:r>
      <w:r w:rsidR="00331372">
        <w:rPr>
          <w:rFonts w:eastAsia="仿宋_GB2312" w:hint="eastAsia"/>
          <w:sz w:val="32"/>
          <w:szCs w:val="32"/>
        </w:rPr>
        <w:t>与上</w:t>
      </w:r>
      <w:r w:rsidR="00331372">
        <w:rPr>
          <w:rFonts w:eastAsia="仿宋_GB2312"/>
          <w:sz w:val="32"/>
          <w:szCs w:val="32"/>
        </w:rPr>
        <w:t>年度持平</w:t>
      </w:r>
      <w:r>
        <w:rPr>
          <w:rFonts w:eastAsia="仿宋_GB2312"/>
          <w:sz w:val="32"/>
          <w:szCs w:val="32"/>
        </w:rPr>
        <w:t>。其中：</w:t>
      </w:r>
    </w:p>
    <w:p w:rsidR="00E15052" w:rsidRPr="00D07952" w:rsidRDefault="004E19B6" w:rsidP="00D07952">
      <w:pPr>
        <w:adjustRightInd w:val="0"/>
        <w:snapToGrid w:val="0"/>
        <w:spacing w:line="584" w:lineRule="exact"/>
        <w:ind w:firstLineChars="200" w:firstLine="641"/>
        <w:rPr>
          <w:rFonts w:eastAsiaTheme="minorEastAsia"/>
          <w:sz w:val="32"/>
          <w:szCs w:val="32"/>
          <w:highlight w:val="yellow"/>
        </w:rPr>
      </w:pPr>
      <w:r>
        <w:rPr>
          <w:rFonts w:eastAsia="仿宋_GB2312"/>
          <w:b/>
          <w:sz w:val="32"/>
          <w:szCs w:val="32"/>
        </w:rPr>
        <w:t>公务用车购置费</w:t>
      </w:r>
      <w:r>
        <w:rPr>
          <w:rFonts w:eastAsia="仿宋_GB2312" w:hint="eastAsia"/>
          <w:b/>
          <w:sz w:val="32"/>
          <w:szCs w:val="32"/>
        </w:rPr>
        <w:t>：</w:t>
      </w: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年度公务用车购置量</w:t>
      </w:r>
      <w:r>
        <w:rPr>
          <w:rFonts w:eastAsia="仿宋_GB2312" w:hint="eastAsia"/>
          <w:sz w:val="32"/>
          <w:szCs w:val="32"/>
        </w:rPr>
        <w:t>0</w:t>
      </w:r>
      <w:r>
        <w:rPr>
          <w:rFonts w:eastAsia="仿宋_GB2312"/>
          <w:sz w:val="32"/>
          <w:szCs w:val="32"/>
        </w:rPr>
        <w:t>辆</w:t>
      </w:r>
      <w:r>
        <w:rPr>
          <w:rFonts w:eastAsia="仿宋_GB2312" w:hint="eastAsia"/>
          <w:sz w:val="32"/>
          <w:szCs w:val="32"/>
        </w:rPr>
        <w:t>，发生“</w:t>
      </w:r>
      <w:r>
        <w:rPr>
          <w:rFonts w:eastAsia="仿宋_GB2312"/>
          <w:sz w:val="32"/>
          <w:szCs w:val="32"/>
        </w:rPr>
        <w:t>公务用车购置</w:t>
      </w:r>
      <w:r>
        <w:rPr>
          <w:rFonts w:eastAsia="仿宋_GB2312" w:hint="eastAsia"/>
          <w:sz w:val="32"/>
          <w:szCs w:val="32"/>
        </w:rPr>
        <w:t>”经费</w:t>
      </w:r>
      <w:r>
        <w:rPr>
          <w:rFonts w:eastAsia="仿宋_GB2312"/>
          <w:sz w:val="32"/>
          <w:szCs w:val="32"/>
        </w:rPr>
        <w:t>支出</w:t>
      </w:r>
      <w:r>
        <w:rPr>
          <w:rFonts w:eastAsia="仿宋_GB2312" w:hint="eastAsia"/>
          <w:sz w:val="32"/>
          <w:szCs w:val="32"/>
        </w:rPr>
        <w:t>0</w:t>
      </w:r>
      <w:r>
        <w:rPr>
          <w:rFonts w:eastAsia="仿宋_GB2312"/>
          <w:sz w:val="32"/>
          <w:szCs w:val="32"/>
        </w:rPr>
        <w:t>万元</w:t>
      </w:r>
      <w:r>
        <w:rPr>
          <w:rFonts w:eastAsia="仿宋_GB2312" w:hint="eastAsia"/>
          <w:sz w:val="32"/>
          <w:szCs w:val="32"/>
        </w:rPr>
        <w:t>。</w:t>
      </w:r>
      <w:r>
        <w:rPr>
          <w:rFonts w:ascii="仿宋_GB2312" w:eastAsia="仿宋_GB2312" w:cs="DengXian-Regular" w:hint="eastAsia"/>
          <w:sz w:val="32"/>
          <w:szCs w:val="32"/>
        </w:rPr>
        <w:t>公务用车购置费支出较预算增加0万元，增长0%,主要是未购置车辆；</w:t>
      </w:r>
      <w:r w:rsidR="0017288A">
        <w:rPr>
          <w:rFonts w:eastAsia="仿宋_GB2312" w:hint="eastAsia"/>
          <w:sz w:val="32"/>
          <w:szCs w:val="32"/>
        </w:rPr>
        <w:t>较上年</w:t>
      </w:r>
      <w:r w:rsidR="0017288A">
        <w:rPr>
          <w:rFonts w:eastAsia="仿宋_GB2312"/>
          <w:sz w:val="32"/>
          <w:szCs w:val="32"/>
        </w:rPr>
        <w:t>增加</w:t>
      </w:r>
      <w:r w:rsidR="0017288A">
        <w:rPr>
          <w:rFonts w:eastAsiaTheme="minorEastAsia" w:hint="eastAsia"/>
          <w:sz w:val="32"/>
          <w:szCs w:val="32"/>
        </w:rPr>
        <w:t>0</w:t>
      </w:r>
      <w:r w:rsidR="0017288A">
        <w:rPr>
          <w:rFonts w:eastAsia="仿宋_GB2312"/>
          <w:sz w:val="32"/>
          <w:szCs w:val="32"/>
        </w:rPr>
        <w:t>万元，增长</w:t>
      </w:r>
      <w:r w:rsidR="0017288A">
        <w:rPr>
          <w:rFonts w:eastAsiaTheme="minorEastAsia" w:hint="eastAsia"/>
          <w:sz w:val="32"/>
          <w:szCs w:val="32"/>
        </w:rPr>
        <w:t>0</w:t>
      </w:r>
      <w:r w:rsidR="0017288A">
        <w:rPr>
          <w:rFonts w:ascii="仿宋_GB2312" w:eastAsia="仿宋_GB2312" w:cs="DengXian-Regular" w:hint="eastAsia"/>
          <w:sz w:val="32"/>
          <w:szCs w:val="32"/>
        </w:rPr>
        <w:t>%</w:t>
      </w:r>
      <w:r w:rsidR="0017288A">
        <w:rPr>
          <w:rFonts w:eastAsia="仿宋_GB2312"/>
          <w:sz w:val="32"/>
          <w:szCs w:val="32"/>
        </w:rPr>
        <w:t>，主要是</w:t>
      </w:r>
      <w:r w:rsidR="0017288A">
        <w:rPr>
          <w:rFonts w:ascii="仿宋_GB2312" w:eastAsia="仿宋_GB2312" w:cs="DengXian-Regular" w:hint="eastAsia"/>
          <w:sz w:val="32"/>
          <w:szCs w:val="32"/>
        </w:rPr>
        <w:t>未购置车辆</w:t>
      </w:r>
      <w:r w:rsidR="0017288A">
        <w:rPr>
          <w:rFonts w:eastAsia="仿宋_GB2312"/>
          <w:sz w:val="32"/>
          <w:szCs w:val="32"/>
        </w:rPr>
        <w:t>。</w:t>
      </w:r>
    </w:p>
    <w:p w:rsidR="00E15052" w:rsidRDefault="004E19B6" w:rsidP="00E15052">
      <w:pPr>
        <w:adjustRightInd w:val="0"/>
        <w:snapToGrid w:val="0"/>
        <w:spacing w:line="580" w:lineRule="exact"/>
        <w:ind w:firstLineChars="200" w:firstLine="641"/>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本部门2019年度单位公务用车保有量1辆。公车运行维护费支出较预算增加0万元，增长0%,主要是严格控制公车使用；</w:t>
      </w:r>
      <w:r w:rsidR="00D07952" w:rsidRPr="007C7256">
        <w:rPr>
          <w:rFonts w:eastAsia="仿宋_GB2312" w:hint="eastAsia"/>
          <w:sz w:val="32"/>
          <w:szCs w:val="32"/>
        </w:rPr>
        <w:t>较上年</w:t>
      </w:r>
      <w:r w:rsidR="00D07952">
        <w:rPr>
          <w:rFonts w:eastAsia="仿宋_GB2312"/>
          <w:sz w:val="32"/>
          <w:szCs w:val="32"/>
        </w:rPr>
        <w:t>减少</w:t>
      </w:r>
      <w:r w:rsidR="00D07952">
        <w:rPr>
          <w:rFonts w:eastAsiaTheme="minorEastAsia" w:hint="eastAsia"/>
          <w:sz w:val="32"/>
          <w:szCs w:val="32"/>
        </w:rPr>
        <w:t>0</w:t>
      </w:r>
      <w:r w:rsidR="00D07952" w:rsidRPr="007C7256">
        <w:rPr>
          <w:rFonts w:eastAsia="仿宋_GB2312"/>
          <w:sz w:val="32"/>
          <w:szCs w:val="32"/>
        </w:rPr>
        <w:t>万元，</w:t>
      </w:r>
      <w:r w:rsidR="00D07952">
        <w:rPr>
          <w:rFonts w:eastAsia="仿宋_GB2312"/>
          <w:sz w:val="32"/>
          <w:szCs w:val="32"/>
        </w:rPr>
        <w:t>降低</w:t>
      </w:r>
      <w:r w:rsidR="00D07952">
        <w:rPr>
          <w:rFonts w:eastAsiaTheme="minorEastAsia" w:hint="eastAsia"/>
          <w:sz w:val="32"/>
          <w:szCs w:val="32"/>
        </w:rPr>
        <w:t>0</w:t>
      </w:r>
      <w:r w:rsidR="00D07952">
        <w:rPr>
          <w:rFonts w:ascii="仿宋_GB2312" w:eastAsia="仿宋_GB2312" w:cs="DengXian-Regular" w:hint="eastAsia"/>
          <w:sz w:val="32"/>
          <w:szCs w:val="32"/>
        </w:rPr>
        <w:t>%</w:t>
      </w:r>
      <w:r>
        <w:rPr>
          <w:rFonts w:ascii="仿宋_GB2312" w:eastAsia="仿宋_GB2312" w:cs="DengXian-Regular" w:hint="eastAsia"/>
          <w:sz w:val="32"/>
          <w:szCs w:val="32"/>
        </w:rPr>
        <w:t>，主要是严</w:t>
      </w:r>
      <w:r>
        <w:rPr>
          <w:rFonts w:ascii="仿宋_GB2312" w:eastAsia="仿宋_GB2312" w:cs="DengXian-Regular" w:hint="eastAsia"/>
          <w:sz w:val="32"/>
          <w:szCs w:val="32"/>
        </w:rPr>
        <w:lastRenderedPageBreak/>
        <w:t>格控制公车使用。</w:t>
      </w:r>
    </w:p>
    <w:p w:rsidR="00E15052" w:rsidRDefault="004E19B6" w:rsidP="00E15052">
      <w:pPr>
        <w:adjustRightInd w:val="0"/>
        <w:snapToGrid w:val="0"/>
        <w:spacing w:line="580" w:lineRule="exact"/>
        <w:ind w:firstLineChars="200" w:firstLine="641"/>
        <w:rPr>
          <w:rFonts w:ascii="仿宋_GB2312" w:eastAsia="仿宋_GB2312" w:cs="DengXian-Regular"/>
          <w:sz w:val="32"/>
          <w:szCs w:val="32"/>
        </w:rPr>
      </w:pPr>
      <w:r>
        <w:rPr>
          <w:rFonts w:eastAsia="楷体_GB2312"/>
          <w:b/>
          <w:bCs/>
          <w:sz w:val="32"/>
          <w:szCs w:val="32"/>
        </w:rPr>
        <w:t>（三）</w:t>
      </w:r>
      <w:r>
        <w:rPr>
          <w:rFonts w:ascii="楷体" w:eastAsia="楷体" w:hAnsi="楷体" w:cs="楷体" w:hint="eastAsia"/>
          <w:b/>
          <w:bCs/>
          <w:sz w:val="32"/>
          <w:szCs w:val="32"/>
        </w:rPr>
        <w:t>公务接待费支</w:t>
      </w:r>
      <w:r>
        <w:rPr>
          <w:rFonts w:eastAsia="楷体_GB2312"/>
          <w:b/>
          <w:bCs/>
          <w:sz w:val="32"/>
          <w:szCs w:val="32"/>
        </w:rPr>
        <w:t>出</w:t>
      </w:r>
      <w:r>
        <w:rPr>
          <w:rFonts w:eastAsia="楷体_GB2312" w:hint="eastAsia"/>
          <w:b/>
          <w:bCs/>
          <w:sz w:val="32"/>
          <w:szCs w:val="32"/>
        </w:rPr>
        <w:t>0</w:t>
      </w:r>
      <w:r>
        <w:rPr>
          <w:rFonts w:eastAsia="楷体_GB2312"/>
          <w:b/>
          <w:bCs/>
          <w:sz w:val="32"/>
          <w:szCs w:val="32"/>
        </w:rPr>
        <w:t>万元。</w:t>
      </w:r>
      <w:r>
        <w:rPr>
          <w:rFonts w:ascii="仿宋_GB2312" w:eastAsia="仿宋_GB2312" w:cs="DengXian-Regular" w:hint="eastAsia"/>
          <w:sz w:val="32"/>
          <w:szCs w:val="32"/>
        </w:rPr>
        <w:t>本部门2019年度公务接待共0批次、0人次。公务接待费支出较预算减少0</w:t>
      </w:r>
      <w:r w:rsidR="0017288A">
        <w:rPr>
          <w:rFonts w:asciiTheme="minorEastAsia" w:eastAsiaTheme="minorEastAsia" w:hAnsiTheme="minorEastAsia" w:cs="DengXian-Regular" w:hint="eastAsia"/>
          <w:sz w:val="32"/>
          <w:szCs w:val="32"/>
        </w:rPr>
        <w:t>.</w:t>
      </w:r>
      <w:r w:rsidR="0017288A">
        <w:rPr>
          <w:rFonts w:ascii="仿宋_GB2312" w:eastAsiaTheme="minorEastAsia" w:cs="DengXian-Regular" w:hint="eastAsia"/>
          <w:sz w:val="32"/>
          <w:szCs w:val="32"/>
        </w:rPr>
        <w:t>37</w:t>
      </w:r>
      <w:r>
        <w:rPr>
          <w:rFonts w:ascii="仿宋_GB2312" w:eastAsia="仿宋_GB2312" w:cs="DengXian-Regular" w:hint="eastAsia"/>
          <w:sz w:val="32"/>
          <w:szCs w:val="32"/>
        </w:rPr>
        <w:t>万元，降低</w:t>
      </w:r>
      <w:r w:rsidR="0017288A">
        <w:rPr>
          <w:rFonts w:ascii="仿宋_GB2312" w:eastAsiaTheme="minorEastAsia" w:cs="DengXian-Regular" w:hint="eastAsia"/>
          <w:sz w:val="32"/>
          <w:szCs w:val="32"/>
        </w:rPr>
        <w:t>10</w:t>
      </w:r>
      <w:r>
        <w:rPr>
          <w:rFonts w:ascii="仿宋_GB2312" w:eastAsia="仿宋_GB2312" w:cs="DengXian-Regular" w:hint="eastAsia"/>
          <w:sz w:val="32"/>
          <w:szCs w:val="32"/>
        </w:rPr>
        <w:t>0%,主要是</w:t>
      </w:r>
      <w:r>
        <w:rPr>
          <w:rFonts w:eastAsia="仿宋_GB2312" w:hint="eastAsia"/>
          <w:sz w:val="32"/>
          <w:szCs w:val="32"/>
        </w:rPr>
        <w:t>本年没有安排公务接待</w:t>
      </w:r>
      <w:r>
        <w:rPr>
          <w:rFonts w:ascii="仿宋_GB2312" w:eastAsia="仿宋_GB2312" w:cs="DengXian-Regular" w:hint="eastAsia"/>
          <w:sz w:val="32"/>
          <w:szCs w:val="32"/>
        </w:rPr>
        <w:t>；</w:t>
      </w:r>
      <w:r w:rsidR="00D07952">
        <w:rPr>
          <w:rFonts w:ascii="仿宋_GB2312" w:eastAsia="仿宋_GB2312" w:cs="DengXian-Regular" w:hint="eastAsia"/>
          <w:sz w:val="32"/>
          <w:szCs w:val="32"/>
        </w:rPr>
        <w:t>较上年增加</w:t>
      </w:r>
      <w:r w:rsidR="00D07952">
        <w:rPr>
          <w:rFonts w:ascii="仿宋_GB2312" w:eastAsiaTheme="minorEastAsia" w:cs="DengXian-Regular" w:hint="eastAsia"/>
          <w:sz w:val="32"/>
          <w:szCs w:val="32"/>
        </w:rPr>
        <w:t>0</w:t>
      </w:r>
      <w:r w:rsidR="00D07952">
        <w:rPr>
          <w:rFonts w:ascii="仿宋_GB2312" w:eastAsia="仿宋_GB2312" w:cs="DengXian-Regular" w:hint="eastAsia"/>
          <w:sz w:val="32"/>
          <w:szCs w:val="32"/>
        </w:rPr>
        <w:t>万元，增长</w:t>
      </w:r>
      <w:r w:rsidR="00D07952">
        <w:rPr>
          <w:rFonts w:ascii="仿宋_GB2312" w:eastAsiaTheme="minorEastAsia" w:cs="DengXian-Regular" w:hint="eastAsia"/>
          <w:sz w:val="32"/>
          <w:szCs w:val="32"/>
        </w:rPr>
        <w:t>0</w:t>
      </w:r>
      <w:r w:rsidR="00D07952">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eastAsia="仿宋_GB2312" w:hint="eastAsia"/>
          <w:sz w:val="32"/>
          <w:szCs w:val="32"/>
        </w:rPr>
        <w:t>本年没有安排公务接待</w:t>
      </w:r>
      <w:r>
        <w:rPr>
          <w:rFonts w:ascii="仿宋_GB2312" w:eastAsia="仿宋_GB2312" w:cs="DengXian-Regular" w:hint="eastAsia"/>
          <w:sz w:val="32"/>
          <w:szCs w:val="32"/>
        </w:rPr>
        <w:t>。</w:t>
      </w:r>
    </w:p>
    <w:p w:rsidR="00E15052" w:rsidRDefault="004E19B6">
      <w:pPr>
        <w:adjustRightInd w:val="0"/>
        <w:snapToGrid w:val="0"/>
        <w:spacing w:line="580" w:lineRule="exact"/>
        <w:ind w:firstLineChars="200" w:firstLine="640"/>
        <w:rPr>
          <w:rFonts w:ascii="黑体" w:eastAsia="黑体"/>
          <w:sz w:val="32"/>
          <w:szCs w:val="40"/>
        </w:rPr>
      </w:pPr>
      <w:bookmarkStart w:id="0" w:name="_Hlk51834005"/>
      <w:r>
        <w:rPr>
          <w:rFonts w:ascii="黑体" w:eastAsia="黑体" w:hint="eastAsia"/>
          <w:sz w:val="32"/>
          <w:szCs w:val="40"/>
        </w:rPr>
        <w:t>六、预算绩效情况说明</w:t>
      </w:r>
    </w:p>
    <w:p w:rsidR="00E15052" w:rsidRDefault="004E19B6" w:rsidP="00E15052">
      <w:pPr>
        <w:adjustRightInd w:val="0"/>
        <w:snapToGrid w:val="0"/>
        <w:spacing w:line="580" w:lineRule="exact"/>
        <w:ind w:firstLineChars="200" w:firstLine="64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E15052" w:rsidRDefault="004E19B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根据预算绩效管理要求，本部门组织对2019年度一般公共预算项目支出全面开展绩效自评，其中，项目2个，共涉及资金67.36万元，占一般公共预算项目支出总额的100%。从评价情况来看，</w:t>
      </w:r>
      <w:r>
        <w:rPr>
          <w:rFonts w:ascii="仿宋" w:eastAsia="仿宋" w:hAnsi="仿宋" w:hint="eastAsia"/>
          <w:sz w:val="32"/>
          <w:szCs w:val="32"/>
        </w:rPr>
        <w:t>纲要规划成果完成率为95%，绩效指标评价为优，综合利用率为90%，绩效指标评价为良。</w:t>
      </w:r>
    </w:p>
    <w:p w:rsidR="00E15052" w:rsidRDefault="004E19B6" w:rsidP="00E15052">
      <w:pPr>
        <w:adjustRightInd w:val="0"/>
        <w:snapToGrid w:val="0"/>
        <w:spacing w:line="580" w:lineRule="exact"/>
        <w:ind w:leftChars="200" w:left="420" w:firstLineChars="100" w:firstLine="32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E15052" w:rsidRDefault="004E19B6">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本部门在今年部门决算公开中反映维修及运转经费项目及 运转经费项目等2个项目绩效自评结果。</w:t>
      </w:r>
    </w:p>
    <w:p w:rsidR="00E15052" w:rsidRDefault="004E19B6">
      <w:pPr>
        <w:numPr>
          <w:ilvl w:val="0"/>
          <w:numId w:val="2"/>
        </w:num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维修及运转经费项目自评综述：根据年初设定的绩效目标，维修及运转经费项目绩效自评得分为98分（绩效自评表附后）。全年预算数为</w:t>
      </w:r>
      <w:r>
        <w:rPr>
          <w:rFonts w:ascii="仿宋" w:eastAsia="仿宋" w:hAnsi="仿宋" w:cs="仿宋" w:hint="eastAsia"/>
          <w:sz w:val="32"/>
          <w:szCs w:val="32"/>
        </w:rPr>
        <w:t>4</w:t>
      </w:r>
      <w:r>
        <w:rPr>
          <w:rFonts w:ascii="仿宋_GB2312" w:eastAsia="仿宋_GB2312" w:hAnsi="仿宋_GB2312" w:cs="仿宋_GB2312" w:hint="eastAsia"/>
          <w:sz w:val="32"/>
          <w:szCs w:val="32"/>
        </w:rPr>
        <w:t>7.36万元，执行数为</w:t>
      </w:r>
      <w:r>
        <w:rPr>
          <w:rFonts w:ascii="仿宋" w:eastAsia="仿宋" w:hAnsi="仿宋" w:cs="仿宋" w:hint="eastAsia"/>
          <w:sz w:val="32"/>
          <w:szCs w:val="32"/>
        </w:rPr>
        <w:t>4</w:t>
      </w:r>
      <w:r>
        <w:rPr>
          <w:rFonts w:ascii="仿宋_GB2312" w:eastAsia="仿宋_GB2312" w:hAnsi="仿宋_GB2312" w:cs="仿宋_GB2312" w:hint="eastAsia"/>
          <w:sz w:val="32"/>
          <w:szCs w:val="32"/>
        </w:rPr>
        <w:t>7.36万元，完成预算的100%。项目绩效目标完成情况：一是消除了安全隐患；二是提升了教学环境。</w:t>
      </w:r>
    </w:p>
    <w:p w:rsidR="00E15052" w:rsidRDefault="004E19B6">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运转经费项目自评综述：根据年初设定的绩效目标，维修及运转经费项目绩效自评得分为98分（绩效自评表附后）。全年预算数为20万元，执行数为20万元，完成预算的100%。项目绩效目标完成情况：保障了教育培训的顺利进行。</w:t>
      </w:r>
    </w:p>
    <w:p w:rsidR="00E15052" w:rsidRDefault="004E19B6" w:rsidP="00E15052">
      <w:pPr>
        <w:adjustRightInd w:val="0"/>
        <w:snapToGrid w:val="0"/>
        <w:spacing w:line="580" w:lineRule="exact"/>
        <w:ind w:leftChars="200" w:left="420" w:firstLineChars="200" w:firstLine="641"/>
        <w:rPr>
          <w:rFonts w:ascii="仿宋_GB2312" w:eastAsia="仿宋_GB2312" w:hAnsi="仿宋_GB2312" w:cs="仿宋_GB2312"/>
          <w:sz w:val="32"/>
          <w:szCs w:val="32"/>
        </w:rPr>
      </w:pPr>
      <w:r>
        <w:rPr>
          <w:rFonts w:ascii="仿宋_GB2312" w:eastAsia="仿宋_GB2312" w:hAnsi="仿宋_GB2312" w:cs="仿宋_GB2312" w:hint="eastAsia"/>
          <w:b/>
          <w:bCs/>
          <w:sz w:val="32"/>
          <w:szCs w:val="32"/>
        </w:rPr>
        <w:t>3.财政评价项目绩效评价结果</w:t>
      </w:r>
    </w:p>
    <w:bookmarkEnd w:id="0"/>
    <w:p w:rsidR="00E15052" w:rsidRDefault="004E19B6">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E15052" w:rsidRDefault="004E19B6" w:rsidP="00E15052">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w:t>
      </w:r>
      <w:r>
        <w:rPr>
          <w:rFonts w:ascii="楷体" w:eastAsia="楷体" w:hAnsi="楷体" w:cs="楷体" w:hint="eastAsia"/>
        </w:rPr>
        <w:t>机关运行经费</w:t>
      </w:r>
      <w:r>
        <w:rPr>
          <w:rFonts w:ascii="楷体_GB2312" w:eastAsia="楷体_GB2312" w:cs="DengXian-Bold" w:hint="eastAsia"/>
        </w:rPr>
        <w:t>情况</w:t>
      </w:r>
    </w:p>
    <w:p w:rsidR="00E15052" w:rsidRDefault="004E19B6">
      <w:pPr>
        <w:adjustRightInd w:val="0"/>
        <w:snapToGrid w:val="0"/>
        <w:spacing w:after="0" w:line="580" w:lineRule="exact"/>
        <w:ind w:firstLineChars="200" w:firstLine="640"/>
        <w:rPr>
          <w:rFonts w:eastAsia="仿宋_GB2312"/>
          <w:sz w:val="32"/>
          <w:szCs w:val="32"/>
        </w:rPr>
      </w:pPr>
      <w:r>
        <w:rPr>
          <w:rFonts w:eastAsia="仿宋_GB2312" w:hint="eastAsia"/>
          <w:sz w:val="32"/>
          <w:szCs w:val="32"/>
        </w:rPr>
        <w:t>本部门</w:t>
      </w:r>
      <w:r>
        <w:rPr>
          <w:rFonts w:eastAsia="仿宋_GB2312" w:hint="eastAsia"/>
          <w:sz w:val="32"/>
          <w:szCs w:val="32"/>
        </w:rPr>
        <w:t>2019</w:t>
      </w:r>
      <w:r>
        <w:rPr>
          <w:rFonts w:eastAsia="仿宋_GB2312" w:hint="eastAsia"/>
          <w:sz w:val="32"/>
          <w:szCs w:val="32"/>
        </w:rPr>
        <w:t>年度机关运行经费支出</w:t>
      </w:r>
      <w:r>
        <w:rPr>
          <w:rFonts w:eastAsia="仿宋_GB2312" w:hint="eastAsia"/>
          <w:sz w:val="32"/>
          <w:szCs w:val="32"/>
        </w:rPr>
        <w:t>45.99</w:t>
      </w:r>
      <w:r>
        <w:rPr>
          <w:rFonts w:eastAsia="仿宋_GB2312" w:hint="eastAsia"/>
          <w:sz w:val="32"/>
          <w:szCs w:val="32"/>
        </w:rPr>
        <w:t>万元，</w:t>
      </w:r>
      <w:r>
        <w:rPr>
          <w:rFonts w:ascii="仿宋_GB2312" w:eastAsia="仿宋_GB2312" w:cs="DengXian-Regular" w:hint="eastAsia"/>
          <w:sz w:val="32"/>
          <w:szCs w:val="32"/>
        </w:rPr>
        <w:t>比年初预算数减少7.17万元，降低13.49</w:t>
      </w:r>
      <w:r>
        <w:rPr>
          <w:rFonts w:eastAsia="仿宋_GB2312"/>
          <w:sz w:val="32"/>
          <w:szCs w:val="32"/>
        </w:rPr>
        <w:t>%</w:t>
      </w:r>
      <w:r>
        <w:rPr>
          <w:rFonts w:ascii="仿宋_GB2312" w:eastAsia="仿宋_GB2312" w:cs="DengXian-Regular" w:hint="eastAsia"/>
          <w:sz w:val="32"/>
          <w:szCs w:val="32"/>
        </w:rPr>
        <w:t>。主要是</w:t>
      </w:r>
      <w:r>
        <w:rPr>
          <w:rFonts w:eastAsia="仿宋_GB2312" w:hint="eastAsia"/>
          <w:sz w:val="32"/>
          <w:szCs w:val="32"/>
        </w:rPr>
        <w:t>原因是严格控制各项开支</w:t>
      </w:r>
      <w:r>
        <w:rPr>
          <w:rFonts w:ascii="仿宋_GB2312" w:eastAsia="仿宋_GB2312" w:cs="DengXian-Regular" w:hint="eastAsia"/>
          <w:sz w:val="32"/>
          <w:szCs w:val="32"/>
        </w:rPr>
        <w:t>。</w:t>
      </w:r>
      <w:r>
        <w:rPr>
          <w:rFonts w:eastAsia="仿宋_GB2312" w:hint="eastAsia"/>
          <w:sz w:val="32"/>
          <w:szCs w:val="32"/>
        </w:rPr>
        <w:t>比</w:t>
      </w:r>
      <w:r>
        <w:rPr>
          <w:rFonts w:eastAsia="仿宋_GB2312" w:hint="eastAsia"/>
          <w:sz w:val="32"/>
          <w:szCs w:val="32"/>
        </w:rPr>
        <w:t>2018</w:t>
      </w:r>
      <w:r>
        <w:rPr>
          <w:rFonts w:eastAsia="仿宋_GB2312" w:hint="eastAsia"/>
          <w:sz w:val="32"/>
          <w:szCs w:val="32"/>
        </w:rPr>
        <w:t>年度减少</w:t>
      </w:r>
      <w:r>
        <w:rPr>
          <w:rFonts w:eastAsia="仿宋_GB2312" w:hint="eastAsia"/>
          <w:sz w:val="32"/>
          <w:szCs w:val="32"/>
        </w:rPr>
        <w:t>28.13</w:t>
      </w:r>
      <w:r>
        <w:rPr>
          <w:rFonts w:eastAsia="仿宋_GB2312" w:hint="eastAsia"/>
          <w:sz w:val="32"/>
          <w:szCs w:val="32"/>
        </w:rPr>
        <w:t>万元，降低</w:t>
      </w:r>
      <w:r>
        <w:rPr>
          <w:rFonts w:eastAsia="仿宋_GB2312" w:hint="eastAsia"/>
          <w:sz w:val="32"/>
          <w:szCs w:val="32"/>
        </w:rPr>
        <w:t>37.95%</w:t>
      </w:r>
      <w:r>
        <w:rPr>
          <w:rFonts w:eastAsia="仿宋_GB2312" w:hint="eastAsia"/>
          <w:sz w:val="32"/>
          <w:szCs w:val="32"/>
        </w:rPr>
        <w:t>。主要原因是严格控制各项开支。</w:t>
      </w:r>
    </w:p>
    <w:p w:rsidR="00E15052" w:rsidRDefault="004E19B6" w:rsidP="00E15052">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w:t>
      </w:r>
      <w:r>
        <w:rPr>
          <w:rFonts w:ascii="楷体" w:eastAsia="楷体" w:hAnsi="楷体" w:cs="楷体" w:hint="eastAsia"/>
        </w:rPr>
        <w:t>政府采购</w:t>
      </w:r>
      <w:r>
        <w:rPr>
          <w:rFonts w:ascii="楷体_GB2312" w:eastAsia="楷体_GB2312" w:cs="DengXian-Bold" w:hint="eastAsia"/>
        </w:rPr>
        <w:t>情况</w:t>
      </w:r>
    </w:p>
    <w:p w:rsidR="00E15052" w:rsidRDefault="004E19B6">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本部门2019年度政府采购支出总额0万元，从采购类型来看，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E15052" w:rsidRDefault="004E19B6" w:rsidP="00E15052">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w:t>
      </w:r>
      <w:r>
        <w:rPr>
          <w:rFonts w:ascii="楷体" w:eastAsia="楷体" w:hAnsi="楷体" w:cs="楷体" w:hint="eastAsia"/>
        </w:rPr>
        <w:t>国有资产占</w:t>
      </w:r>
      <w:r>
        <w:rPr>
          <w:rFonts w:ascii="楷体_GB2312" w:eastAsia="楷体_GB2312" w:cs="DengXian-Bold" w:hint="eastAsia"/>
        </w:rPr>
        <w:t>用情况</w:t>
      </w:r>
    </w:p>
    <w:p w:rsidR="00E15052" w:rsidRDefault="004E19B6">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截至2019年12月31日，本部门共有车辆1辆，与上年持平，主要是严格控制。其中，副部（省）级及以上领导用车0辆，主要领导干部用车0辆，机要通信用车1辆，应急保障用车</w:t>
      </w:r>
      <w:r>
        <w:rPr>
          <w:rFonts w:ascii="仿宋_GB2312" w:eastAsia="仿宋_GB2312" w:cs="DengXian-Regular" w:hint="eastAsia"/>
          <w:sz w:val="32"/>
          <w:szCs w:val="32"/>
        </w:rPr>
        <w:lastRenderedPageBreak/>
        <w:t>0辆，执法执勤用车0辆，特种专业技术用车0辆，离退休干部用车0辆，其他用车0辆。</w:t>
      </w:r>
    </w:p>
    <w:p w:rsidR="00E15052" w:rsidRDefault="004E19B6">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万元以上通用设备0台（套），与上年持平，单位价值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万元以上专用设备0台（套）与上年持平。</w:t>
      </w:r>
    </w:p>
    <w:p w:rsidR="00E15052" w:rsidRDefault="004E19B6" w:rsidP="00E15052">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E15052" w:rsidRDefault="004E19B6">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 本部门2019年度无收支及结转结余情况，故收支及结转结余表以空表列示。</w:t>
      </w:r>
    </w:p>
    <w:p w:rsidR="00E15052" w:rsidRDefault="004E19B6">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 由于决算公开表格中金额数值应当保留两位小数，公开数据为四舍五入计算结果，个别数据合计项与分项之和存在小数点后差额，特此说明。</w:t>
      </w:r>
    </w:p>
    <w:p w:rsidR="00E15052" w:rsidRDefault="00E15052">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E15052">
          <w:pgSz w:w="11906" w:h="16838"/>
          <w:pgMar w:top="2098" w:right="1474" w:bottom="1984" w:left="1588" w:header="851" w:footer="992" w:gutter="0"/>
          <w:cols w:space="0"/>
          <w:docGrid w:type="lines" w:linePitch="312"/>
        </w:sectPr>
      </w:pPr>
    </w:p>
    <w:p w:rsidR="00E15052" w:rsidRDefault="00E15052">
      <w:pPr>
        <w:widowControl/>
        <w:spacing w:line="1200" w:lineRule="exact"/>
        <w:jc w:val="center"/>
        <w:rPr>
          <w:rFonts w:asciiTheme="minorEastAsia" w:eastAsiaTheme="minorEastAsia" w:hAnsi="宋体"/>
          <w:color w:val="000000" w:themeColor="text1"/>
          <w:sz w:val="96"/>
          <w:szCs w:val="96"/>
        </w:rPr>
      </w:pPr>
    </w:p>
    <w:p w:rsidR="00E15052" w:rsidRDefault="00E15052">
      <w:pPr>
        <w:widowControl/>
        <w:spacing w:line="1200" w:lineRule="exact"/>
        <w:jc w:val="center"/>
        <w:rPr>
          <w:rFonts w:asciiTheme="minorEastAsia" w:eastAsiaTheme="minorEastAsia" w:hAnsi="宋体"/>
          <w:color w:val="000000" w:themeColor="text1"/>
          <w:sz w:val="96"/>
          <w:szCs w:val="96"/>
        </w:rPr>
      </w:pPr>
    </w:p>
    <w:p w:rsidR="00E15052" w:rsidRDefault="00E15052">
      <w:pPr>
        <w:widowControl/>
        <w:spacing w:line="1200" w:lineRule="exact"/>
        <w:jc w:val="center"/>
        <w:rPr>
          <w:rFonts w:asciiTheme="minorEastAsia" w:eastAsiaTheme="minorEastAsia" w:hAnsi="宋体"/>
          <w:color w:val="000000" w:themeColor="text1"/>
          <w:sz w:val="96"/>
          <w:szCs w:val="96"/>
        </w:rPr>
      </w:pPr>
    </w:p>
    <w:p w:rsidR="00E15052" w:rsidRDefault="004E19B6">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E15052" w:rsidRDefault="004E19B6">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相关名词解释</w:t>
      </w:r>
    </w:p>
    <w:p w:rsidR="00E15052" w:rsidRDefault="00E15052">
      <w:pPr>
        <w:rPr>
          <w:rFonts w:ascii="宋体" w:hAnsi="宋体" w:cs="ArialUnicodeMS"/>
          <w:color w:val="000000"/>
          <w:kern w:val="0"/>
        </w:rPr>
        <w:sectPr w:rsidR="00E15052">
          <w:pgSz w:w="11906" w:h="16838"/>
          <w:pgMar w:top="2098" w:right="1474" w:bottom="1984" w:left="1588" w:header="851" w:footer="992" w:gutter="0"/>
          <w:cols w:space="0"/>
          <w:docGrid w:type="lines" w:linePitch="312"/>
        </w:sectPr>
      </w:pP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（八）基本支出：</w:t>
      </w:r>
      <w:r>
        <w:rPr>
          <w:rFonts w:ascii="仿宋_GB2312" w:eastAsia="仿宋_GB2312" w:hAnsi="宋体" w:hint="eastAsia"/>
          <w:color w:val="000000"/>
          <w:kern w:val="0"/>
          <w:sz w:val="32"/>
          <w:szCs w:val="32"/>
        </w:rPr>
        <w:t>填列单位为保障机构正常运转、完成日常工作任务而发生的各项支出。</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E15052" w:rsidRDefault="004E19B6" w:rsidP="00E15052">
      <w:pPr>
        <w:snapToGrid w:val="0"/>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E15052" w:rsidRDefault="004E19B6" w:rsidP="00E15052">
      <w:pPr>
        <w:snapToGrid w:val="0"/>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填列单位公务用车车辆购置支出（含车辆购置税、牌照费）。</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E15052" w:rsidRDefault="004E19B6" w:rsidP="00E15052">
      <w:pPr>
        <w:widowControl/>
        <w:spacing w:line="560" w:lineRule="exact"/>
        <w:ind w:firstLineChars="200" w:firstLine="641"/>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E15052" w:rsidRDefault="004E19B6" w:rsidP="00E15052">
      <w:pPr>
        <w:widowControl/>
        <w:spacing w:line="560" w:lineRule="exact"/>
        <w:ind w:firstLineChars="200" w:firstLine="641"/>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E15052" w:rsidRDefault="00E15052">
      <w:pPr>
        <w:widowControl/>
        <w:spacing w:after="0" w:line="560" w:lineRule="exact"/>
        <w:ind w:firstLineChars="200" w:firstLine="640"/>
        <w:rPr>
          <w:rFonts w:ascii="仿宋_GB2312" w:eastAsia="仿宋_GB2312" w:hAnsiTheme="minorHAnsi" w:cs="ArialUnicodeMS"/>
          <w:kern w:val="0"/>
          <w:sz w:val="32"/>
          <w:szCs w:val="32"/>
        </w:rPr>
      </w:pPr>
    </w:p>
    <w:p w:rsidR="00E15052" w:rsidRDefault="00E15052">
      <w:pPr>
        <w:widowControl/>
        <w:spacing w:after="0" w:line="560" w:lineRule="exact"/>
        <w:ind w:firstLineChars="200" w:firstLine="640"/>
        <w:rPr>
          <w:rFonts w:ascii="仿宋_GB2312" w:eastAsia="仿宋_GB2312" w:hAnsiTheme="minorHAnsi" w:cs="ArialUnicodeMS"/>
          <w:kern w:val="0"/>
          <w:sz w:val="32"/>
          <w:szCs w:val="32"/>
        </w:rPr>
      </w:pPr>
    </w:p>
    <w:p w:rsidR="00E15052" w:rsidRDefault="00E15052">
      <w:pPr>
        <w:widowControl/>
        <w:spacing w:after="0" w:line="560" w:lineRule="exact"/>
        <w:ind w:firstLineChars="200" w:firstLine="640"/>
        <w:rPr>
          <w:rFonts w:ascii="仿宋_GB2312" w:eastAsia="仿宋_GB2312" w:hAnsiTheme="minorHAnsi" w:cs="ArialUnicodeMS"/>
          <w:kern w:val="0"/>
          <w:sz w:val="32"/>
          <w:szCs w:val="32"/>
        </w:rPr>
      </w:pPr>
    </w:p>
    <w:p w:rsidR="00E15052" w:rsidRDefault="00E15052">
      <w:pPr>
        <w:widowControl/>
        <w:spacing w:after="0" w:line="560" w:lineRule="exact"/>
        <w:ind w:firstLineChars="200" w:firstLine="640"/>
        <w:rPr>
          <w:rFonts w:ascii="仿宋_GB2312" w:eastAsia="仿宋_GB2312" w:hAnsiTheme="minorHAnsi" w:cs="ArialUnicodeMS"/>
          <w:kern w:val="0"/>
          <w:sz w:val="32"/>
          <w:szCs w:val="32"/>
        </w:rPr>
      </w:pPr>
    </w:p>
    <w:p w:rsidR="00E15052" w:rsidRDefault="00E15052">
      <w:pPr>
        <w:widowControl/>
        <w:spacing w:after="0" w:line="560" w:lineRule="exact"/>
        <w:ind w:firstLineChars="200" w:firstLine="640"/>
        <w:rPr>
          <w:rFonts w:ascii="仿宋_GB2312" w:eastAsia="仿宋_GB2312" w:hAnsiTheme="minorHAnsi" w:cs="ArialUnicodeMS"/>
          <w:kern w:val="0"/>
          <w:sz w:val="32"/>
          <w:szCs w:val="32"/>
        </w:rPr>
      </w:pPr>
    </w:p>
    <w:p w:rsidR="00E15052" w:rsidRDefault="00E15052">
      <w:pPr>
        <w:widowControl/>
        <w:spacing w:after="0" w:line="560" w:lineRule="exact"/>
        <w:ind w:firstLineChars="200" w:firstLine="640"/>
        <w:rPr>
          <w:rFonts w:ascii="仿宋_GB2312" w:eastAsia="仿宋_GB2312" w:hAnsiTheme="minorHAnsi" w:cs="ArialUnicodeMS"/>
          <w:kern w:val="0"/>
          <w:sz w:val="32"/>
          <w:szCs w:val="32"/>
        </w:rPr>
      </w:pPr>
    </w:p>
    <w:p w:rsidR="00E15052" w:rsidRDefault="00E15052">
      <w:pPr>
        <w:widowControl/>
        <w:spacing w:after="0" w:line="560" w:lineRule="exact"/>
        <w:ind w:firstLineChars="200" w:firstLine="640"/>
        <w:rPr>
          <w:rFonts w:ascii="仿宋_GB2312" w:eastAsia="仿宋_GB2312" w:hAnsiTheme="minorHAnsi" w:cs="ArialUnicodeMS"/>
          <w:kern w:val="0"/>
          <w:sz w:val="32"/>
          <w:szCs w:val="32"/>
        </w:rPr>
      </w:pPr>
    </w:p>
    <w:p w:rsidR="00E15052" w:rsidRDefault="00E15052">
      <w:pPr>
        <w:widowControl/>
        <w:spacing w:after="0" w:line="560" w:lineRule="exact"/>
        <w:ind w:firstLineChars="200" w:firstLine="640"/>
        <w:rPr>
          <w:rFonts w:ascii="仿宋_GB2312" w:eastAsia="仿宋_GB2312" w:hAnsiTheme="minorHAnsi" w:cs="ArialUnicodeMS"/>
          <w:kern w:val="0"/>
          <w:sz w:val="32"/>
          <w:szCs w:val="32"/>
        </w:rPr>
      </w:pPr>
    </w:p>
    <w:p w:rsidR="00E15052" w:rsidRDefault="00E15052">
      <w:pPr>
        <w:widowControl/>
        <w:spacing w:line="1200" w:lineRule="exact"/>
        <w:rPr>
          <w:rFonts w:asciiTheme="minorEastAsia" w:eastAsiaTheme="minorEastAsia" w:hAnsi="宋体"/>
          <w:color w:val="000000" w:themeColor="text1"/>
          <w:sz w:val="72"/>
          <w:szCs w:val="96"/>
        </w:rPr>
      </w:pPr>
    </w:p>
    <w:p w:rsidR="00E15052" w:rsidRDefault="004E19B6">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第四部分</w:t>
      </w:r>
    </w:p>
    <w:p w:rsidR="00E15052" w:rsidRDefault="004E19B6">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2019年度部门决算报表</w:t>
      </w:r>
    </w:p>
    <w:p w:rsidR="00E15052" w:rsidRDefault="00E15052">
      <w:pPr>
        <w:widowControl/>
        <w:spacing w:line="560" w:lineRule="exact"/>
        <w:jc w:val="center"/>
        <w:rPr>
          <w:rFonts w:ascii="黑体" w:eastAsia="黑体" w:hAnsiTheme="minorHAnsi" w:cs="MS-UIGothic,Bold"/>
          <w:bCs/>
          <w:kern w:val="0"/>
          <w:sz w:val="52"/>
          <w:szCs w:val="52"/>
        </w:rPr>
      </w:pPr>
    </w:p>
    <w:p w:rsidR="00E15052" w:rsidRDefault="00E15052">
      <w:pPr>
        <w:widowControl/>
        <w:spacing w:line="560" w:lineRule="exact"/>
        <w:jc w:val="center"/>
        <w:rPr>
          <w:rFonts w:ascii="黑体" w:eastAsia="黑体" w:hAnsiTheme="minorHAnsi" w:cs="MS-UIGothic,Bold"/>
          <w:bCs/>
          <w:kern w:val="0"/>
          <w:sz w:val="52"/>
          <w:szCs w:val="52"/>
        </w:rPr>
      </w:pPr>
    </w:p>
    <w:p w:rsidR="00E15052" w:rsidRDefault="00E15052">
      <w:pPr>
        <w:rPr>
          <w:rFonts w:ascii="宋体" w:hAnsi="宋体" w:cs="ArialUnicodeMS"/>
          <w:color w:val="000000"/>
          <w:kern w:val="0"/>
        </w:rPr>
      </w:pPr>
    </w:p>
    <w:p w:rsidR="00E15052" w:rsidRDefault="00E15052">
      <w:pPr>
        <w:rPr>
          <w:rFonts w:ascii="宋体" w:hAnsi="宋体" w:cs="ArialUnicodeMS"/>
          <w:color w:val="000000"/>
          <w:kern w:val="0"/>
        </w:rPr>
      </w:pPr>
    </w:p>
    <w:p w:rsidR="00E15052" w:rsidRDefault="00E15052">
      <w:pPr>
        <w:rPr>
          <w:rFonts w:ascii="宋体" w:hAnsi="宋体" w:cs="ArialUnicodeMS"/>
          <w:color w:val="000000"/>
          <w:kern w:val="0"/>
        </w:rPr>
      </w:pPr>
    </w:p>
    <w:p w:rsidR="00E15052" w:rsidRDefault="00E15052">
      <w:pPr>
        <w:rPr>
          <w:rFonts w:ascii="宋体" w:hAnsi="宋体" w:cs="ArialUnicodeMS"/>
          <w:color w:val="000000"/>
          <w:kern w:val="0"/>
        </w:rPr>
      </w:pPr>
    </w:p>
    <w:p w:rsidR="00E15052" w:rsidRDefault="00E15052">
      <w:pPr>
        <w:widowControl/>
        <w:spacing w:after="0" w:line="240" w:lineRule="auto"/>
        <w:jc w:val="left"/>
        <w:rPr>
          <w:rFonts w:ascii="宋体" w:hAnsi="宋体" w:cs="ArialUnicodeMS"/>
          <w:color w:val="000000"/>
          <w:kern w:val="0"/>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bookmarkStart w:id="1" w:name="_GoBack"/>
    <w:p w:rsidR="00E15052" w:rsidRDefault="00E15052">
      <w:pPr>
        <w:widowControl/>
        <w:spacing w:line="240" w:lineRule="auto"/>
        <w:rPr>
          <w:rFonts w:asciiTheme="minorEastAsia" w:eastAsiaTheme="minorEastAsia" w:hAnsi="宋体"/>
          <w:color w:val="000000" w:themeColor="text1"/>
          <w:szCs w:val="21"/>
        </w:rPr>
      </w:pPr>
      <w:r w:rsidRPr="00E15052">
        <w:rPr>
          <w:rFonts w:asciiTheme="minorEastAsia" w:eastAsiaTheme="minorEastAsia" w:hAnsi="宋体" w:hint="eastAsia"/>
          <w:color w:val="000000" w:themeColor="text1"/>
          <w:szCs w:val="21"/>
        </w:rPr>
        <w:object w:dxaOrig="9885"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562pt" o:ole="">
            <v:imagedata r:id="rId10" o:title=""/>
            <o:lock v:ext="edit" aspectratio="f"/>
          </v:shape>
          <o:OLEObject Type="Embed" ProgID="Excel.Sheet.12" ShapeID="_x0000_i1025" DrawAspect="Content" ObjectID="_1683644379" r:id="rId11"/>
        </w:object>
      </w:r>
      <w:bookmarkEnd w:id="1"/>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457D73">
      <w:pPr>
        <w:widowControl/>
        <w:spacing w:line="240" w:lineRule="auto"/>
        <w:rPr>
          <w:rFonts w:asciiTheme="minorEastAsia" w:eastAsiaTheme="minorEastAsia" w:hAnsi="宋体"/>
          <w:color w:val="000000" w:themeColor="text1"/>
          <w:szCs w:val="21"/>
        </w:rPr>
      </w:pPr>
      <w:r w:rsidRPr="00E15052">
        <w:rPr>
          <w:rFonts w:asciiTheme="minorEastAsia" w:eastAsiaTheme="minorEastAsia" w:hAnsi="宋体" w:hint="eastAsia"/>
          <w:color w:val="000000" w:themeColor="text1"/>
          <w:szCs w:val="21"/>
        </w:rPr>
        <w:object w:dxaOrig="12097" w:dyaOrig="9969">
          <v:shape id="_x0000_i1026" type="#_x0000_t75" alt="" style="width:466.5pt;height:384.5pt" o:ole="">
            <v:imagedata r:id="rId12" o:title=""/>
            <o:lock v:ext="edit" aspectratio="f"/>
          </v:shape>
          <o:OLEObject Type="Embed" ProgID="Excel.Sheet.12" ShapeID="_x0000_i1026" DrawAspect="Content" ObjectID="_1683644380" r:id="rId13"/>
        </w:object>
      </w: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r w:rsidRPr="00E15052">
        <w:rPr>
          <w:rFonts w:asciiTheme="minorEastAsia" w:eastAsiaTheme="minorEastAsia" w:hAnsi="宋体" w:hint="eastAsia"/>
          <w:color w:val="000000" w:themeColor="text1"/>
          <w:szCs w:val="21"/>
        </w:rPr>
        <w:object w:dxaOrig="11850" w:dyaOrig="10290">
          <v:shape id="_x0000_i1027" type="#_x0000_t75" alt="" style="width:442pt;height:383.5pt" o:ole="">
            <v:imagedata r:id="rId14" o:title=""/>
            <o:lock v:ext="edit" aspectratio="f"/>
          </v:shape>
          <o:OLEObject Type="Embed" ProgID="Excel.Sheet.12" ShapeID="_x0000_i1027" DrawAspect="Content" ObjectID="_1683644381" r:id="rId15"/>
        </w:object>
      </w: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r w:rsidRPr="00E15052">
        <w:rPr>
          <w:rFonts w:asciiTheme="minorEastAsia" w:eastAsiaTheme="minorEastAsia" w:hAnsi="宋体" w:hint="eastAsia"/>
          <w:color w:val="000000" w:themeColor="text1"/>
          <w:szCs w:val="21"/>
        </w:rPr>
        <w:object w:dxaOrig="12210" w:dyaOrig="15555">
          <v:shape id="_x0000_i1028" type="#_x0000_t75" alt="" style="width:442pt;height:562.5pt" o:ole="">
            <v:imagedata r:id="rId16" o:title=""/>
            <o:lock v:ext="edit" aspectratio="f"/>
          </v:shape>
          <o:OLEObject Type="Embed" ProgID="Excel.Sheet.12" ShapeID="_x0000_i1028" DrawAspect="Content" ObjectID="_1683644382" r:id="rId17"/>
        </w:object>
      </w: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r w:rsidRPr="00E15052">
        <w:rPr>
          <w:rFonts w:asciiTheme="minorEastAsia" w:eastAsiaTheme="minorEastAsia" w:hAnsi="宋体" w:hint="eastAsia"/>
          <w:color w:val="000000" w:themeColor="text1"/>
          <w:szCs w:val="21"/>
        </w:rPr>
        <w:object w:dxaOrig="11040" w:dyaOrig="10080">
          <v:shape id="_x0000_i1029" type="#_x0000_t75" alt="" style="width:441.5pt;height:403.5pt" o:ole="">
            <v:imagedata r:id="rId18" o:title=""/>
            <o:lock v:ext="edit" aspectratio="f"/>
          </v:shape>
          <o:OLEObject Type="Embed" ProgID="Excel.Sheet.12" ShapeID="_x0000_i1029" DrawAspect="Content" ObjectID="_1683644383" r:id="rId19"/>
        </w:object>
      </w: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r w:rsidRPr="00E15052">
        <w:rPr>
          <w:rFonts w:asciiTheme="minorEastAsia" w:eastAsiaTheme="minorEastAsia" w:hAnsi="宋体" w:hint="eastAsia"/>
          <w:color w:val="000000" w:themeColor="text1"/>
          <w:szCs w:val="21"/>
        </w:rPr>
        <w:object w:dxaOrig="11925" w:dyaOrig="14970">
          <v:shape id="_x0000_i1030" type="#_x0000_t75" alt="" style="width:442pt;height:554.5pt" o:ole="">
            <v:imagedata r:id="rId20" o:title=""/>
            <o:lock v:ext="edit" aspectratio="f"/>
          </v:shape>
          <o:OLEObject Type="Embed" ProgID="Excel.Sheet.12" ShapeID="_x0000_i1030" DrawAspect="Content" ObjectID="_1683644384" r:id="rId21"/>
        </w:object>
      </w: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r w:rsidRPr="00E15052">
        <w:rPr>
          <w:rFonts w:asciiTheme="minorEastAsia" w:eastAsiaTheme="minorEastAsia" w:hAnsi="宋体" w:hint="eastAsia"/>
          <w:color w:val="000000" w:themeColor="text1"/>
          <w:szCs w:val="21"/>
        </w:rPr>
        <w:object w:dxaOrig="12345" w:dyaOrig="4620">
          <v:shape id="_x0000_i1031" type="#_x0000_t75" alt="" style="width:442pt;height:165.5pt" o:ole="">
            <v:imagedata r:id="rId22" o:title=""/>
            <o:lock v:ext="edit" aspectratio="f"/>
          </v:shape>
          <o:OLEObject Type="Embed" ProgID="Excel.Sheet.12" ShapeID="_x0000_i1031" DrawAspect="Content" ObjectID="_1683644385" r:id="rId23"/>
        </w:object>
      </w: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r w:rsidRPr="00E15052">
        <w:rPr>
          <w:rFonts w:asciiTheme="minorEastAsia" w:eastAsiaTheme="minorEastAsia" w:hAnsi="宋体" w:hint="eastAsia"/>
          <w:color w:val="000000" w:themeColor="text1"/>
          <w:szCs w:val="21"/>
        </w:rPr>
        <w:object w:dxaOrig="11985" w:dyaOrig="6915">
          <v:shape id="_x0000_i1032" type="#_x0000_t75" alt="" style="width:442pt;height:255pt" o:ole="">
            <v:imagedata r:id="rId24" o:title=""/>
            <o:lock v:ext="edit" aspectratio="f"/>
          </v:shape>
          <o:OLEObject Type="Embed" ProgID="Excel.Sheet.12" ShapeID="_x0000_i1032" DrawAspect="Content" ObjectID="_1683644386" r:id="rId25"/>
        </w:object>
      </w: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p>
    <w:p w:rsidR="00E15052" w:rsidRDefault="00E15052">
      <w:pPr>
        <w:widowControl/>
        <w:spacing w:line="240" w:lineRule="auto"/>
        <w:rPr>
          <w:rFonts w:asciiTheme="minorEastAsia" w:eastAsiaTheme="minorEastAsia" w:hAnsi="宋体"/>
          <w:color w:val="000000" w:themeColor="text1"/>
          <w:szCs w:val="21"/>
        </w:rPr>
      </w:pPr>
      <w:r w:rsidRPr="00E15052">
        <w:rPr>
          <w:rFonts w:asciiTheme="minorEastAsia" w:eastAsiaTheme="minorEastAsia" w:hAnsi="宋体" w:hint="eastAsia"/>
          <w:color w:val="000000" w:themeColor="text1"/>
          <w:szCs w:val="21"/>
        </w:rPr>
        <w:object w:dxaOrig="11880" w:dyaOrig="6195">
          <v:shape id="_x0000_i1033" type="#_x0000_t75" alt="" style="width:442pt;height:230.5pt" o:ole="">
            <v:imagedata r:id="rId26" o:title=""/>
            <o:lock v:ext="edit" aspectratio="f"/>
          </v:shape>
          <o:OLEObject Type="Embed" ProgID="Excel.Sheet.12" ShapeID="_x0000_i1033" DrawAspect="Content" ObjectID="_1683644387" r:id="rId27"/>
        </w:object>
      </w:r>
    </w:p>
    <w:sectPr w:rsidR="00E15052" w:rsidSect="00E15052">
      <w:pgSz w:w="11906" w:h="16838"/>
      <w:pgMar w:top="2098" w:right="1474" w:bottom="1984"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88A" w:rsidRDefault="0017288A" w:rsidP="0017288A">
      <w:pPr>
        <w:spacing w:after="0" w:line="240" w:lineRule="auto"/>
      </w:pPr>
      <w:r>
        <w:separator/>
      </w:r>
    </w:p>
  </w:endnote>
  <w:endnote w:type="continuationSeparator" w:id="1">
    <w:p w:rsidR="0017288A" w:rsidRDefault="0017288A" w:rsidP="00172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796348FF-50B0-4B68-B2AE-EA85833CF10D}"/>
  </w:font>
  <w:font w:name="楷体">
    <w:panose1 w:val="02010609060101010101"/>
    <w:charset w:val="86"/>
    <w:family w:val="modern"/>
    <w:pitch w:val="fixed"/>
    <w:sig w:usb0="800002BF" w:usb1="38CF7CFA" w:usb2="00000016" w:usb3="00000000" w:csb0="00040001" w:csb1="00000000"/>
    <w:embedBold r:id="rId2" w:subsetted="1" w:fontKey="{A5F080E4-26F0-4DE0-BAD0-D1624032196C}"/>
  </w:font>
  <w:font w:name="仿宋_GB2312">
    <w:altName w:val="MS Mincho"/>
    <w:charset w:val="86"/>
    <w:family w:val="modern"/>
    <w:pitch w:val="default"/>
    <w:sig w:usb0="00000000" w:usb1="00000000" w:usb2="00000000" w:usb3="00000000" w:csb0="00000000" w:csb1="00000000"/>
    <w:embedRegular r:id="rId3" w:subsetted="1" w:fontKey="{D4CB80F3-B4BA-42C4-8E02-12CD91EFC404}"/>
    <w:embedBold r:id="rId4" w:subsetted="1" w:fontKey="{BF774F56-6931-43A1-B43A-A1C6AA219829}"/>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embedRegular r:id="rId5" w:subsetted="1" w:fontKey="{7F53F971-426B-41FB-B123-9C08C7A61C7A}"/>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charset w:val="86"/>
    <w:family w:val="modern"/>
    <w:pitch w:val="default"/>
    <w:sig w:usb0="00000000" w:usb1="00000000" w:usb2="00000000" w:usb3="00000000" w:csb0="00000000" w:csb1="00000000"/>
    <w:embedBold r:id="rId6" w:subsetted="1" w:fontKey="{9D0C9404-3D15-4EE1-AD99-9821CB481F45}"/>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88A" w:rsidRDefault="0017288A" w:rsidP="0017288A">
      <w:pPr>
        <w:spacing w:after="0" w:line="240" w:lineRule="auto"/>
      </w:pPr>
      <w:r>
        <w:separator/>
      </w:r>
    </w:p>
  </w:footnote>
  <w:footnote w:type="continuationSeparator" w:id="1">
    <w:p w:rsidR="0017288A" w:rsidRDefault="0017288A" w:rsidP="00172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F222FFA"/>
    <w:multiLevelType w:val="singleLevel"/>
    <w:tmpl w:val="5F222FFA"/>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20FAF"/>
    <w:rsid w:val="00022474"/>
    <w:rsid w:val="00024E7F"/>
    <w:rsid w:val="000475A0"/>
    <w:rsid w:val="00067693"/>
    <w:rsid w:val="00071A78"/>
    <w:rsid w:val="000838C3"/>
    <w:rsid w:val="000B2446"/>
    <w:rsid w:val="000B3E55"/>
    <w:rsid w:val="000D7C65"/>
    <w:rsid w:val="000E2F81"/>
    <w:rsid w:val="00101F8D"/>
    <w:rsid w:val="0011714A"/>
    <w:rsid w:val="00117946"/>
    <w:rsid w:val="00117E2C"/>
    <w:rsid w:val="00127819"/>
    <w:rsid w:val="00140394"/>
    <w:rsid w:val="00146C47"/>
    <w:rsid w:val="00152FB8"/>
    <w:rsid w:val="00164329"/>
    <w:rsid w:val="0017288A"/>
    <w:rsid w:val="00176658"/>
    <w:rsid w:val="0018239E"/>
    <w:rsid w:val="001B3410"/>
    <w:rsid w:val="001B7503"/>
    <w:rsid w:val="001C030D"/>
    <w:rsid w:val="001C29CA"/>
    <w:rsid w:val="001C4A84"/>
    <w:rsid w:val="001D2D07"/>
    <w:rsid w:val="001E5902"/>
    <w:rsid w:val="00213773"/>
    <w:rsid w:val="00224A73"/>
    <w:rsid w:val="00233705"/>
    <w:rsid w:val="00240FB2"/>
    <w:rsid w:val="00246D99"/>
    <w:rsid w:val="00250145"/>
    <w:rsid w:val="00257266"/>
    <w:rsid w:val="00262306"/>
    <w:rsid w:val="00275CA2"/>
    <w:rsid w:val="002A65A5"/>
    <w:rsid w:val="002C04C4"/>
    <w:rsid w:val="002D08B0"/>
    <w:rsid w:val="002D1120"/>
    <w:rsid w:val="002D1AE3"/>
    <w:rsid w:val="002F2ECE"/>
    <w:rsid w:val="0030135E"/>
    <w:rsid w:val="00331372"/>
    <w:rsid w:val="00341C8F"/>
    <w:rsid w:val="00347601"/>
    <w:rsid w:val="0035463A"/>
    <w:rsid w:val="0039185F"/>
    <w:rsid w:val="00391D9D"/>
    <w:rsid w:val="003948CC"/>
    <w:rsid w:val="003B6C51"/>
    <w:rsid w:val="003C1413"/>
    <w:rsid w:val="003C549F"/>
    <w:rsid w:val="003D5A16"/>
    <w:rsid w:val="003E3DC2"/>
    <w:rsid w:val="003E71FD"/>
    <w:rsid w:val="003E7DB3"/>
    <w:rsid w:val="00400C87"/>
    <w:rsid w:val="0041168F"/>
    <w:rsid w:val="00414E99"/>
    <w:rsid w:val="00431175"/>
    <w:rsid w:val="004374A3"/>
    <w:rsid w:val="00457D73"/>
    <w:rsid w:val="00470B4F"/>
    <w:rsid w:val="00472FB1"/>
    <w:rsid w:val="00493686"/>
    <w:rsid w:val="004B6E37"/>
    <w:rsid w:val="004C32BA"/>
    <w:rsid w:val="004C68EF"/>
    <w:rsid w:val="004C6F49"/>
    <w:rsid w:val="004D1845"/>
    <w:rsid w:val="004E19B6"/>
    <w:rsid w:val="004F067C"/>
    <w:rsid w:val="00575922"/>
    <w:rsid w:val="005A3C0D"/>
    <w:rsid w:val="005A6C90"/>
    <w:rsid w:val="005B37E6"/>
    <w:rsid w:val="005D77F7"/>
    <w:rsid w:val="005E369C"/>
    <w:rsid w:val="005E3FB0"/>
    <w:rsid w:val="005F4B66"/>
    <w:rsid w:val="005F5208"/>
    <w:rsid w:val="00615C31"/>
    <w:rsid w:val="00636436"/>
    <w:rsid w:val="00641318"/>
    <w:rsid w:val="0064405D"/>
    <w:rsid w:val="006575C9"/>
    <w:rsid w:val="00695557"/>
    <w:rsid w:val="006C3715"/>
    <w:rsid w:val="006D4EA7"/>
    <w:rsid w:val="0070012A"/>
    <w:rsid w:val="0070623F"/>
    <w:rsid w:val="0070664B"/>
    <w:rsid w:val="007071B8"/>
    <w:rsid w:val="0071149E"/>
    <w:rsid w:val="007155C2"/>
    <w:rsid w:val="007414DE"/>
    <w:rsid w:val="00760C0C"/>
    <w:rsid w:val="007905A9"/>
    <w:rsid w:val="007C7256"/>
    <w:rsid w:val="007D3A17"/>
    <w:rsid w:val="007E072B"/>
    <w:rsid w:val="007E5500"/>
    <w:rsid w:val="007F055B"/>
    <w:rsid w:val="00811C2F"/>
    <w:rsid w:val="00833D46"/>
    <w:rsid w:val="00836215"/>
    <w:rsid w:val="00840A97"/>
    <w:rsid w:val="00872B02"/>
    <w:rsid w:val="00873292"/>
    <w:rsid w:val="0089698A"/>
    <w:rsid w:val="008A640A"/>
    <w:rsid w:val="008C0149"/>
    <w:rsid w:val="008C5828"/>
    <w:rsid w:val="008D15FD"/>
    <w:rsid w:val="008D5DED"/>
    <w:rsid w:val="008E04D1"/>
    <w:rsid w:val="008E25CA"/>
    <w:rsid w:val="008F34FC"/>
    <w:rsid w:val="00910887"/>
    <w:rsid w:val="00944CD7"/>
    <w:rsid w:val="009504B6"/>
    <w:rsid w:val="009535A5"/>
    <w:rsid w:val="00955004"/>
    <w:rsid w:val="00961190"/>
    <w:rsid w:val="00961936"/>
    <w:rsid w:val="009831B2"/>
    <w:rsid w:val="009A1ABE"/>
    <w:rsid w:val="009A6363"/>
    <w:rsid w:val="009E21A4"/>
    <w:rsid w:val="009F22C6"/>
    <w:rsid w:val="00A07E50"/>
    <w:rsid w:val="00A12C15"/>
    <w:rsid w:val="00A15397"/>
    <w:rsid w:val="00A1756E"/>
    <w:rsid w:val="00A22FEE"/>
    <w:rsid w:val="00A35CE0"/>
    <w:rsid w:val="00A4462E"/>
    <w:rsid w:val="00A44AA4"/>
    <w:rsid w:val="00A61623"/>
    <w:rsid w:val="00A84687"/>
    <w:rsid w:val="00AA0458"/>
    <w:rsid w:val="00AB0A0E"/>
    <w:rsid w:val="00AB7C30"/>
    <w:rsid w:val="00AD3B6E"/>
    <w:rsid w:val="00AE361E"/>
    <w:rsid w:val="00AF6D31"/>
    <w:rsid w:val="00B03D1E"/>
    <w:rsid w:val="00B12037"/>
    <w:rsid w:val="00B1751F"/>
    <w:rsid w:val="00B358EF"/>
    <w:rsid w:val="00B45C11"/>
    <w:rsid w:val="00B50F96"/>
    <w:rsid w:val="00B56722"/>
    <w:rsid w:val="00B67044"/>
    <w:rsid w:val="00B74D39"/>
    <w:rsid w:val="00B76EC5"/>
    <w:rsid w:val="00B827C6"/>
    <w:rsid w:val="00B91DA4"/>
    <w:rsid w:val="00B947B0"/>
    <w:rsid w:val="00BA7174"/>
    <w:rsid w:val="00BB3E41"/>
    <w:rsid w:val="00BF157A"/>
    <w:rsid w:val="00C12630"/>
    <w:rsid w:val="00C1492E"/>
    <w:rsid w:val="00C278BC"/>
    <w:rsid w:val="00C27BF7"/>
    <w:rsid w:val="00C34562"/>
    <w:rsid w:val="00C3774E"/>
    <w:rsid w:val="00C57456"/>
    <w:rsid w:val="00C65387"/>
    <w:rsid w:val="00C87FAB"/>
    <w:rsid w:val="00C91FF7"/>
    <w:rsid w:val="00C92D15"/>
    <w:rsid w:val="00C94E53"/>
    <w:rsid w:val="00C95C80"/>
    <w:rsid w:val="00CB2853"/>
    <w:rsid w:val="00CC4BD3"/>
    <w:rsid w:val="00CE3FC3"/>
    <w:rsid w:val="00CE61A8"/>
    <w:rsid w:val="00CF15AF"/>
    <w:rsid w:val="00D0048E"/>
    <w:rsid w:val="00D07952"/>
    <w:rsid w:val="00D23E7A"/>
    <w:rsid w:val="00D56D8F"/>
    <w:rsid w:val="00D61063"/>
    <w:rsid w:val="00DB35AF"/>
    <w:rsid w:val="00DB6E42"/>
    <w:rsid w:val="00DC57C5"/>
    <w:rsid w:val="00DD72D7"/>
    <w:rsid w:val="00DF5B88"/>
    <w:rsid w:val="00E04A7D"/>
    <w:rsid w:val="00E0589E"/>
    <w:rsid w:val="00E0697F"/>
    <w:rsid w:val="00E15052"/>
    <w:rsid w:val="00E241FA"/>
    <w:rsid w:val="00E2595E"/>
    <w:rsid w:val="00E35374"/>
    <w:rsid w:val="00E426ED"/>
    <w:rsid w:val="00E50C19"/>
    <w:rsid w:val="00E64655"/>
    <w:rsid w:val="00E73081"/>
    <w:rsid w:val="00E81541"/>
    <w:rsid w:val="00E82439"/>
    <w:rsid w:val="00E838BC"/>
    <w:rsid w:val="00E856C9"/>
    <w:rsid w:val="00EA4F68"/>
    <w:rsid w:val="00EB6A8B"/>
    <w:rsid w:val="00EC2916"/>
    <w:rsid w:val="00EC5072"/>
    <w:rsid w:val="00EC6814"/>
    <w:rsid w:val="00ED411D"/>
    <w:rsid w:val="00EF070A"/>
    <w:rsid w:val="00EF38C6"/>
    <w:rsid w:val="00F40BEB"/>
    <w:rsid w:val="00F679C7"/>
    <w:rsid w:val="00F7711A"/>
    <w:rsid w:val="00F80C72"/>
    <w:rsid w:val="00FA0D58"/>
    <w:rsid w:val="00FA1580"/>
    <w:rsid w:val="00FA56F4"/>
    <w:rsid w:val="00FB4EDA"/>
    <w:rsid w:val="00FD3BD5"/>
    <w:rsid w:val="00FE3DC8"/>
    <w:rsid w:val="00FF4331"/>
    <w:rsid w:val="013F747B"/>
    <w:rsid w:val="04073F84"/>
    <w:rsid w:val="045F21EF"/>
    <w:rsid w:val="0B60750A"/>
    <w:rsid w:val="0DE26B1D"/>
    <w:rsid w:val="10686488"/>
    <w:rsid w:val="10DF728A"/>
    <w:rsid w:val="1264200E"/>
    <w:rsid w:val="141C5B77"/>
    <w:rsid w:val="18D8339D"/>
    <w:rsid w:val="1A21388F"/>
    <w:rsid w:val="1A570D2F"/>
    <w:rsid w:val="28FB0B8D"/>
    <w:rsid w:val="2D2B7942"/>
    <w:rsid w:val="2D46481D"/>
    <w:rsid w:val="2E733B28"/>
    <w:rsid w:val="31852B5A"/>
    <w:rsid w:val="32D01238"/>
    <w:rsid w:val="344E0A2C"/>
    <w:rsid w:val="3DFC59A8"/>
    <w:rsid w:val="3ECF245E"/>
    <w:rsid w:val="3FB96314"/>
    <w:rsid w:val="4163248D"/>
    <w:rsid w:val="51AF2421"/>
    <w:rsid w:val="533212B0"/>
    <w:rsid w:val="53A44FAF"/>
    <w:rsid w:val="594329EC"/>
    <w:rsid w:val="5A7B36A7"/>
    <w:rsid w:val="5BEE1540"/>
    <w:rsid w:val="5DE61A5D"/>
    <w:rsid w:val="63C04243"/>
    <w:rsid w:val="649C01C7"/>
    <w:rsid w:val="661F33C2"/>
    <w:rsid w:val="67754098"/>
    <w:rsid w:val="699A3F60"/>
    <w:rsid w:val="72902E62"/>
    <w:rsid w:val="73C61104"/>
    <w:rsid w:val="74C70386"/>
    <w:rsid w:val="74CE5D84"/>
    <w:rsid w:val="753A1BF5"/>
    <w:rsid w:val="768C382D"/>
    <w:rsid w:val="776452EA"/>
    <w:rsid w:val="77B23B99"/>
    <w:rsid w:val="7BA53B84"/>
    <w:rsid w:val="7DC663B9"/>
    <w:rsid w:val="7DCF7F7C"/>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52"/>
    <w:pPr>
      <w:widowControl w:val="0"/>
      <w:spacing w:after="160" w:line="480" w:lineRule="auto"/>
      <w:jc w:val="both"/>
    </w:pPr>
    <w:rPr>
      <w:kern w:val="2"/>
      <w:sz w:val="21"/>
      <w:szCs w:val="24"/>
    </w:rPr>
  </w:style>
  <w:style w:type="paragraph" w:styleId="1">
    <w:name w:val="heading 1"/>
    <w:basedOn w:val="a"/>
    <w:next w:val="a"/>
    <w:link w:val="1Char"/>
    <w:uiPriority w:val="9"/>
    <w:qFormat/>
    <w:rsid w:val="00E1505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1505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1505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1505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E15052"/>
    <w:rPr>
      <w:rFonts w:ascii="宋体"/>
      <w:sz w:val="18"/>
      <w:szCs w:val="18"/>
    </w:rPr>
  </w:style>
  <w:style w:type="paragraph" w:styleId="a4">
    <w:name w:val="Date"/>
    <w:basedOn w:val="a"/>
    <w:next w:val="a"/>
    <w:link w:val="Char0"/>
    <w:uiPriority w:val="99"/>
    <w:semiHidden/>
    <w:unhideWhenUsed/>
    <w:qFormat/>
    <w:rsid w:val="00E15052"/>
    <w:pPr>
      <w:ind w:leftChars="2500" w:left="100"/>
    </w:pPr>
  </w:style>
  <w:style w:type="paragraph" w:styleId="a5">
    <w:name w:val="Balloon Text"/>
    <w:basedOn w:val="a"/>
    <w:link w:val="Char1"/>
    <w:uiPriority w:val="99"/>
    <w:semiHidden/>
    <w:unhideWhenUsed/>
    <w:qFormat/>
    <w:rsid w:val="00E15052"/>
    <w:rPr>
      <w:sz w:val="18"/>
      <w:szCs w:val="18"/>
    </w:rPr>
  </w:style>
  <w:style w:type="paragraph" w:styleId="a6">
    <w:name w:val="footer"/>
    <w:basedOn w:val="a"/>
    <w:link w:val="Char2"/>
    <w:uiPriority w:val="99"/>
    <w:unhideWhenUsed/>
    <w:qFormat/>
    <w:rsid w:val="00E15052"/>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E150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Subtitle"/>
    <w:basedOn w:val="a"/>
    <w:next w:val="a"/>
    <w:link w:val="Char4"/>
    <w:uiPriority w:val="11"/>
    <w:qFormat/>
    <w:rsid w:val="00E15052"/>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9">
    <w:name w:val="Title"/>
    <w:basedOn w:val="a"/>
    <w:next w:val="a"/>
    <w:link w:val="Char5"/>
    <w:uiPriority w:val="10"/>
    <w:qFormat/>
    <w:rsid w:val="00E15052"/>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a">
    <w:name w:val="Table Grid"/>
    <w:basedOn w:val="a1"/>
    <w:uiPriority w:val="1"/>
    <w:qFormat/>
    <w:rsid w:val="00E15052"/>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sid w:val="00E15052"/>
    <w:rPr>
      <w:sz w:val="18"/>
      <w:szCs w:val="18"/>
    </w:rPr>
  </w:style>
  <w:style w:type="character" w:customStyle="1" w:styleId="Char2">
    <w:name w:val="页脚 Char"/>
    <w:basedOn w:val="a0"/>
    <w:link w:val="a6"/>
    <w:uiPriority w:val="99"/>
    <w:qFormat/>
    <w:rsid w:val="00E15052"/>
    <w:rPr>
      <w:sz w:val="18"/>
      <w:szCs w:val="18"/>
    </w:rPr>
  </w:style>
  <w:style w:type="paragraph" w:styleId="ab">
    <w:name w:val="No Spacing"/>
    <w:link w:val="Char6"/>
    <w:uiPriority w:val="1"/>
    <w:qFormat/>
    <w:rsid w:val="00E15052"/>
    <w:pPr>
      <w:spacing w:after="160" w:line="480" w:lineRule="auto"/>
    </w:pPr>
    <w:rPr>
      <w:rFonts w:asciiTheme="minorHAnsi" w:eastAsiaTheme="minorEastAsia" w:hAnsiTheme="minorHAnsi" w:cstheme="minorBidi"/>
      <w:sz w:val="22"/>
      <w:szCs w:val="22"/>
    </w:rPr>
  </w:style>
  <w:style w:type="character" w:customStyle="1" w:styleId="Char6">
    <w:name w:val="无间隔 Char"/>
    <w:basedOn w:val="a0"/>
    <w:link w:val="ab"/>
    <w:uiPriority w:val="1"/>
    <w:qFormat/>
    <w:rsid w:val="00E15052"/>
    <w:rPr>
      <w:kern w:val="0"/>
      <w:sz w:val="22"/>
    </w:rPr>
  </w:style>
  <w:style w:type="character" w:customStyle="1" w:styleId="Char1">
    <w:name w:val="批注框文本 Char"/>
    <w:basedOn w:val="a0"/>
    <w:link w:val="a5"/>
    <w:uiPriority w:val="99"/>
    <w:semiHidden/>
    <w:qFormat/>
    <w:rsid w:val="00E15052"/>
    <w:rPr>
      <w:rFonts w:ascii="Times New Roman" w:eastAsia="宋体" w:hAnsi="Times New Roman" w:cs="Times New Roman"/>
      <w:sz w:val="18"/>
      <w:szCs w:val="18"/>
    </w:rPr>
  </w:style>
  <w:style w:type="character" w:customStyle="1" w:styleId="Char5">
    <w:name w:val="标题 Char"/>
    <w:basedOn w:val="a0"/>
    <w:link w:val="a9"/>
    <w:uiPriority w:val="10"/>
    <w:qFormat/>
    <w:rsid w:val="00E15052"/>
    <w:rPr>
      <w:rFonts w:asciiTheme="majorHAnsi" w:eastAsiaTheme="majorEastAsia" w:hAnsiTheme="majorHAnsi" w:cstheme="majorBidi"/>
      <w:color w:val="3A2C24" w:themeColor="text2" w:themeShade="BF"/>
      <w:spacing w:val="5"/>
      <w:kern w:val="28"/>
      <w:sz w:val="52"/>
      <w:szCs w:val="52"/>
    </w:rPr>
  </w:style>
  <w:style w:type="character" w:customStyle="1" w:styleId="Char4">
    <w:name w:val="副标题 Char"/>
    <w:basedOn w:val="a0"/>
    <w:link w:val="a8"/>
    <w:uiPriority w:val="11"/>
    <w:qFormat/>
    <w:rsid w:val="00E15052"/>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E15052"/>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E15052"/>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E15052"/>
    <w:rPr>
      <w:rFonts w:asciiTheme="minorHAnsi" w:eastAsiaTheme="minorEastAsia" w:hAnsiTheme="minorEastAsia" w:cstheme="minorBidi"/>
      <w:szCs w:val="22"/>
      <w:lang w:eastAsia="zh-CN"/>
    </w:rPr>
  </w:style>
  <w:style w:type="character" w:customStyle="1" w:styleId="Style4">
    <w:name w:val="Style4"/>
    <w:basedOn w:val="a0"/>
    <w:uiPriority w:val="1"/>
    <w:qFormat/>
    <w:rsid w:val="00E15052"/>
    <w:rPr>
      <w:rFonts w:asciiTheme="minorHAnsi" w:eastAsiaTheme="minorEastAsia" w:hAnsiTheme="minorEastAsia" w:cstheme="minorBidi"/>
      <w:szCs w:val="22"/>
      <w:lang w:eastAsia="zh-CN"/>
    </w:rPr>
  </w:style>
  <w:style w:type="character" w:customStyle="1" w:styleId="Style5">
    <w:name w:val="Style5"/>
    <w:basedOn w:val="a0"/>
    <w:uiPriority w:val="1"/>
    <w:qFormat/>
    <w:rsid w:val="00E15052"/>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E15052"/>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E15052"/>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E15052"/>
    <w:rPr>
      <w:rFonts w:ascii="Times New Roman" w:eastAsia="宋体" w:hAnsi="Times New Roman" w:cs="Times New Roman"/>
      <w:b/>
      <w:bCs/>
      <w:sz w:val="32"/>
      <w:szCs w:val="32"/>
    </w:rPr>
  </w:style>
  <w:style w:type="character" w:customStyle="1" w:styleId="4Char">
    <w:name w:val="标题 4 Char"/>
    <w:basedOn w:val="a0"/>
    <w:link w:val="4"/>
    <w:uiPriority w:val="9"/>
    <w:qFormat/>
    <w:rsid w:val="00E15052"/>
    <w:rPr>
      <w:rFonts w:asciiTheme="majorHAnsi" w:eastAsiaTheme="majorEastAsia" w:hAnsiTheme="majorHAnsi" w:cstheme="majorBidi"/>
      <w:b/>
      <w:bCs/>
      <w:sz w:val="28"/>
      <w:szCs w:val="28"/>
    </w:rPr>
  </w:style>
  <w:style w:type="character" w:customStyle="1" w:styleId="Char0">
    <w:name w:val="日期 Char"/>
    <w:basedOn w:val="a0"/>
    <w:link w:val="a4"/>
    <w:uiPriority w:val="99"/>
    <w:semiHidden/>
    <w:qFormat/>
    <w:rsid w:val="00E15052"/>
    <w:rPr>
      <w:rFonts w:ascii="Times New Roman" w:eastAsia="宋体" w:hAnsi="Times New Roman" w:cs="Times New Roman"/>
      <w:szCs w:val="24"/>
    </w:rPr>
  </w:style>
  <w:style w:type="paragraph" w:styleId="ac">
    <w:name w:val="List Paragraph"/>
    <w:basedOn w:val="a"/>
    <w:uiPriority w:val="99"/>
    <w:unhideWhenUsed/>
    <w:qFormat/>
    <w:rsid w:val="00E15052"/>
    <w:pPr>
      <w:ind w:firstLineChars="200" w:firstLine="420"/>
    </w:pPr>
  </w:style>
  <w:style w:type="character" w:customStyle="1" w:styleId="Char">
    <w:name w:val="文档结构图 Char"/>
    <w:basedOn w:val="a0"/>
    <w:link w:val="a3"/>
    <w:uiPriority w:val="99"/>
    <w:semiHidden/>
    <w:qFormat/>
    <w:rsid w:val="00E15052"/>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Office_Excel____2.xls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Office_Excel____6.xlsx"/><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Office_Excel____4.xlsx"/><Relationship Id="rId25" Type="http://schemas.openxmlformats.org/officeDocument/2006/relationships/package" Target="embeddings/Microsoft_Office_Excel____8.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Office_Excel____1.xlsx"/><Relationship Id="rId24" Type="http://schemas.openxmlformats.org/officeDocument/2006/relationships/image" Target="media/image8.emf"/><Relationship Id="rId5" Type="http://schemas.openxmlformats.org/officeDocument/2006/relationships/styles" Target="styles.xml"/><Relationship Id="rId15" Type="http://schemas.openxmlformats.org/officeDocument/2006/relationships/package" Target="embeddings/Microsoft_Office_Excel____3.xlsx"/><Relationship Id="rId23" Type="http://schemas.openxmlformats.org/officeDocument/2006/relationships/package" Target="embeddings/Microsoft_Office_Excel____7.xlsx"/><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package" Target="embeddings/Microsoft_Office_Excel____5.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Office_Excel____9.xlsx"/></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72AE38-3B40-4C01-9CCD-2CA0EFF860E8}">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4700</Words>
  <Characters>1117</Characters>
  <Application>Microsoft Office Word</Application>
  <DocSecurity>0</DocSecurity>
  <Lines>9</Lines>
  <Paragraphs>11</Paragraphs>
  <ScaleCrop>false</ScaleCrop>
  <Company>Microsoft</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yafeng liu</cp:lastModifiedBy>
  <cp:revision>65</cp:revision>
  <cp:lastPrinted>2019-09-27T00:42:00Z</cp:lastPrinted>
  <dcterms:created xsi:type="dcterms:W3CDTF">2019-09-26T01:09:00Z</dcterms:created>
  <dcterms:modified xsi:type="dcterms:W3CDTF">2021-05-27T10:13:00Z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